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E5052" w14:textId="30B5E8EB" w:rsidR="00362451" w:rsidRPr="00B72ED3" w:rsidRDefault="00362451" w:rsidP="00B72ED3">
      <w:pPr>
        <w:pStyle w:val="Cabealho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TESES AMBIENTAIS</w:t>
      </w:r>
    </w:p>
    <w:p w14:paraId="72FC24A4" w14:textId="77777777" w:rsidR="00362451" w:rsidRPr="00B72ED3" w:rsidRDefault="00362451" w:rsidP="00B72ED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E169306" w14:textId="3EA69456" w:rsidR="00681EC7" w:rsidRPr="00B72ED3" w:rsidRDefault="00F45FE6" w:rsidP="00B72ED3">
      <w:pPr>
        <w:pStyle w:val="Cabealh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 xml:space="preserve">Número </w:t>
      </w:r>
      <w:r w:rsidR="00B72ED3" w:rsidRPr="00B72ED3">
        <w:rPr>
          <w:rFonts w:ascii="Arial" w:hAnsi="Arial" w:cs="Arial"/>
          <w:b/>
          <w:sz w:val="20"/>
          <w:szCs w:val="20"/>
        </w:rPr>
        <w:t>1</w:t>
      </w:r>
      <w:r w:rsidR="00D26225">
        <w:rPr>
          <w:rFonts w:ascii="Arial" w:hAnsi="Arial" w:cs="Arial"/>
          <w:b/>
          <w:sz w:val="20"/>
          <w:szCs w:val="20"/>
        </w:rPr>
        <w:t>2</w:t>
      </w:r>
    </w:p>
    <w:p w14:paraId="5313394D" w14:textId="77777777" w:rsidR="00D9046A" w:rsidRPr="00B72ED3" w:rsidRDefault="00D9046A" w:rsidP="00B72ED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9C8ED4A" w14:textId="1C372866" w:rsidR="00681EC7" w:rsidRPr="00B72ED3" w:rsidRDefault="00681EC7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>Este Boletim</w:t>
      </w:r>
      <w:r w:rsidR="00362451" w:rsidRPr="00B72ED3">
        <w:rPr>
          <w:rFonts w:ascii="Arial" w:hAnsi="Arial" w:cs="Arial"/>
          <w:sz w:val="20"/>
          <w:szCs w:val="20"/>
        </w:rPr>
        <w:t xml:space="preserve"> </w:t>
      </w:r>
      <w:r w:rsidR="005445E2" w:rsidRPr="00B72ED3">
        <w:rPr>
          <w:rFonts w:ascii="Arial" w:hAnsi="Arial" w:cs="Arial"/>
          <w:sz w:val="20"/>
          <w:szCs w:val="20"/>
        </w:rPr>
        <w:t xml:space="preserve">relaciona as </w:t>
      </w:r>
      <w:r w:rsidRPr="00B72ED3">
        <w:rPr>
          <w:rFonts w:ascii="Arial" w:hAnsi="Arial" w:cs="Arial"/>
          <w:sz w:val="20"/>
          <w:szCs w:val="20"/>
        </w:rPr>
        <w:t xml:space="preserve">teses fixadas em Direito Ambiental pelo Supremo Tribunal Federal - STF, Superior Tribunal de Justiça - STJ, Tribunal de Contas da União </w:t>
      </w:r>
      <w:r w:rsidR="008A1058" w:rsidRPr="00B72ED3">
        <w:rPr>
          <w:rFonts w:ascii="Arial" w:hAnsi="Arial" w:cs="Arial"/>
          <w:sz w:val="20"/>
          <w:szCs w:val="20"/>
        </w:rPr>
        <w:t>–</w:t>
      </w:r>
      <w:r w:rsidRPr="00B72ED3">
        <w:rPr>
          <w:rFonts w:ascii="Arial" w:hAnsi="Arial" w:cs="Arial"/>
          <w:sz w:val="20"/>
          <w:szCs w:val="20"/>
        </w:rPr>
        <w:t xml:space="preserve"> TCU</w:t>
      </w:r>
      <w:r w:rsidR="008A1058" w:rsidRPr="00B72ED3">
        <w:rPr>
          <w:rFonts w:ascii="Arial" w:hAnsi="Arial" w:cs="Arial"/>
          <w:sz w:val="20"/>
          <w:szCs w:val="20"/>
        </w:rPr>
        <w:t xml:space="preserve">, </w:t>
      </w:r>
      <w:r w:rsidRPr="00B72ED3">
        <w:rPr>
          <w:rFonts w:ascii="Arial" w:hAnsi="Arial" w:cs="Arial"/>
          <w:sz w:val="20"/>
          <w:szCs w:val="20"/>
        </w:rPr>
        <w:t>Tribunal de Contas do Paraná - TCE/PR</w:t>
      </w:r>
      <w:r w:rsidR="008A1058" w:rsidRPr="00B72ED3">
        <w:rPr>
          <w:rFonts w:ascii="Arial" w:hAnsi="Arial" w:cs="Arial"/>
          <w:sz w:val="20"/>
          <w:szCs w:val="20"/>
        </w:rPr>
        <w:t xml:space="preserve"> e demais</w:t>
      </w:r>
      <w:r w:rsidR="00427BD4" w:rsidRPr="00B72ED3">
        <w:rPr>
          <w:rFonts w:ascii="Arial" w:hAnsi="Arial" w:cs="Arial"/>
          <w:sz w:val="20"/>
          <w:szCs w:val="20"/>
        </w:rPr>
        <w:t xml:space="preserve"> Tribunais de Contas Estaduais e Municipais </w:t>
      </w:r>
      <w:r w:rsidR="00D20524" w:rsidRPr="00B72ED3">
        <w:rPr>
          <w:rFonts w:ascii="Arial" w:hAnsi="Arial" w:cs="Arial"/>
          <w:sz w:val="20"/>
          <w:szCs w:val="20"/>
        </w:rPr>
        <w:t xml:space="preserve">acerca </w:t>
      </w:r>
      <w:r w:rsidR="005445E2" w:rsidRPr="00B72ED3">
        <w:rPr>
          <w:rFonts w:ascii="Arial" w:hAnsi="Arial" w:cs="Arial"/>
          <w:sz w:val="20"/>
          <w:szCs w:val="20"/>
        </w:rPr>
        <w:t>d</w:t>
      </w:r>
      <w:r w:rsidRPr="00B72ED3">
        <w:rPr>
          <w:rFonts w:ascii="Arial" w:hAnsi="Arial" w:cs="Arial"/>
          <w:sz w:val="20"/>
          <w:szCs w:val="20"/>
        </w:rPr>
        <w:t>o controle externo</w:t>
      </w:r>
      <w:r w:rsidR="008A1058" w:rsidRPr="00B72ED3">
        <w:rPr>
          <w:rFonts w:ascii="Arial" w:hAnsi="Arial" w:cs="Arial"/>
          <w:sz w:val="20"/>
          <w:szCs w:val="20"/>
        </w:rPr>
        <w:t xml:space="preserve"> aplicado à avaliação de uma </w:t>
      </w:r>
      <w:r w:rsidRPr="00B72ED3">
        <w:rPr>
          <w:rFonts w:ascii="Arial" w:hAnsi="Arial" w:cs="Arial"/>
          <w:sz w:val="20"/>
          <w:szCs w:val="20"/>
        </w:rPr>
        <w:t>gestão ambiental eficiente, transparente e propositiva</w:t>
      </w:r>
      <w:r w:rsidR="005445E2" w:rsidRPr="00B72ED3">
        <w:rPr>
          <w:rFonts w:ascii="Arial" w:hAnsi="Arial" w:cs="Arial"/>
          <w:sz w:val="20"/>
          <w:szCs w:val="20"/>
        </w:rPr>
        <w:t>, não representando</w:t>
      </w:r>
      <w:r w:rsidRPr="00B72ED3">
        <w:rPr>
          <w:rFonts w:ascii="Arial" w:hAnsi="Arial" w:cs="Arial"/>
          <w:sz w:val="20"/>
          <w:szCs w:val="20"/>
        </w:rPr>
        <w:t xml:space="preserve"> repositório oficia</w:t>
      </w:r>
      <w:r w:rsidR="00DF6F7F" w:rsidRPr="00B72ED3">
        <w:rPr>
          <w:rFonts w:ascii="Arial" w:hAnsi="Arial" w:cs="Arial"/>
          <w:sz w:val="20"/>
          <w:szCs w:val="20"/>
        </w:rPr>
        <w:t>l</w:t>
      </w:r>
      <w:r w:rsidRPr="00B72ED3">
        <w:rPr>
          <w:rFonts w:ascii="Arial" w:hAnsi="Arial" w:cs="Arial"/>
          <w:sz w:val="20"/>
          <w:szCs w:val="20"/>
        </w:rPr>
        <w:t xml:space="preserve"> de jurisprudência.</w:t>
      </w:r>
    </w:p>
    <w:p w14:paraId="5C4426F1" w14:textId="77777777" w:rsidR="00681EC7" w:rsidRPr="00B72ED3" w:rsidRDefault="00681EC7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96DD71" w14:textId="77777777" w:rsidR="00FE7B14" w:rsidRPr="00B72ED3" w:rsidRDefault="00FE7B14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6DCC47" wp14:editId="68427C1C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5B981" id="Conector reto 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FBA157C" w14:textId="77777777" w:rsidR="00AE4F42" w:rsidRPr="00B72ED3" w:rsidRDefault="00AE4F42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S</w:t>
      </w:r>
      <w:r w:rsidR="00221D15" w:rsidRPr="00B72ED3">
        <w:rPr>
          <w:rFonts w:ascii="Arial" w:hAnsi="Arial" w:cs="Arial"/>
          <w:b/>
          <w:sz w:val="20"/>
          <w:szCs w:val="20"/>
        </w:rPr>
        <w:t>U</w:t>
      </w:r>
      <w:r w:rsidRPr="00B72ED3">
        <w:rPr>
          <w:rFonts w:ascii="Arial" w:hAnsi="Arial" w:cs="Arial"/>
          <w:b/>
          <w:sz w:val="20"/>
          <w:szCs w:val="20"/>
        </w:rPr>
        <w:t>MÁRIO</w:t>
      </w:r>
    </w:p>
    <w:p w14:paraId="00D7234C" w14:textId="75205644" w:rsidR="00DB721B" w:rsidRPr="00B72ED3" w:rsidRDefault="00DB721B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F3E123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99C39C8" w14:textId="31EFB6EC" w:rsidR="00A47032" w:rsidRPr="00A47032" w:rsidRDefault="00A47032" w:rsidP="00A470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7032">
        <w:rPr>
          <w:rFonts w:ascii="Arial" w:hAnsi="Arial" w:cs="Arial"/>
          <w:b/>
          <w:bCs/>
          <w:sz w:val="20"/>
          <w:szCs w:val="20"/>
        </w:rPr>
        <w:t xml:space="preserve">1.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Prestação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contas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transferência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Termo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Convênio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n.o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13/2008, formalizado entre o FUNDO ESTADUAL DO MEIO AMBIENTE e o MUNICÍPIO DE PRANCHITA. Projeto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Recuperação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Áreas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Degradadas em Fundo de Vale. 2.1. Sucessivas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prorrogações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do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convênio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Conclusão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extemporânea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do objeto.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Alterações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no projeto.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Anuência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do Estado do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Parana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́. Saneamento. 2.2. Pagamento de nota fiscal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após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expirada 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vigência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do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convênio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Atraso no repasse dos recursos por parte do Fundo Estadual para o Meio Ambiente,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não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imputável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ao gestor municipal. Afastamento da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restrição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2.3. Atraso na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autuação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prestação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contas. Ressalva e multa afastadas, conforme precedentes. 2.4.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Ausência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extratos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bancários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Saneamento. 2.5.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Comprovação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devolução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saldo remanescente. Valor inexistente. Recursos utilizados ao final do ajuste mediante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autorização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do Instituto Ambiental do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Parana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́. Saneamento. 3. Contas regulares. </w:t>
      </w:r>
    </w:p>
    <w:p w14:paraId="0EBA2B27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1393A6" w14:textId="5C679434" w:rsidR="00B72ED3" w:rsidRDefault="00B72ED3" w:rsidP="00B72ED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2450E7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2.</w:t>
      </w:r>
      <w:r w:rsidRPr="00B72ED3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Representação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da Lei n</w:t>
      </w:r>
      <w:r w:rsidR="005C4968" w:rsidRPr="005C4968">
        <w:rPr>
          <w:rFonts w:ascii="Arial" w:hAnsi="Arial" w:cs="Arial"/>
          <w:b/>
          <w:bCs/>
          <w:sz w:val="20"/>
          <w:szCs w:val="20"/>
          <w:shd w:val="clear" w:color="auto" w:fill="FFFFFF"/>
        </w:rPr>
        <w:t>.º</w:t>
      </w:r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8.666/93.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Concorrência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Pública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n</w:t>
      </w:r>
      <w:r w:rsidR="005C4968" w:rsidRPr="005C4968">
        <w:rPr>
          <w:rFonts w:ascii="Arial" w:hAnsi="Arial" w:cs="Arial"/>
          <w:b/>
          <w:bCs/>
          <w:sz w:val="20"/>
          <w:szCs w:val="20"/>
          <w:shd w:val="clear" w:color="auto" w:fill="FFFFFF"/>
        </w:rPr>
        <w:t>.º</w:t>
      </w:r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001/2019.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Concessão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de sistema integrado e descentralizado de tratamento de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resíduos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e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disposição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final de rejeitos.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Licitação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suspensa em cumprimento a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determinação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cautelar deste Tribunal.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Apresentação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de medida para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correção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da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possível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irregularidade que fundamentou a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determinação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. Pela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revogação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da cautelar, com o acompanhamento dos atos saneadores pela Coordenadoria de Acompanhamento de Atos de </w:t>
      </w:r>
      <w:proofErr w:type="spellStart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Gestão</w:t>
      </w:r>
      <w:proofErr w:type="spellEnd"/>
      <w:r w:rsidR="005C4968" w:rsidRPr="00A47032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</w:p>
    <w:p w14:paraId="0CAD6F54" w14:textId="77777777" w:rsidR="005C4968" w:rsidRPr="00B72ED3" w:rsidRDefault="005C4968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2B02CDB" w14:textId="77777777" w:rsidR="002450E7" w:rsidRDefault="002450E7" w:rsidP="002450E7">
      <w:pPr>
        <w:spacing w:line="276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3</w:t>
      </w:r>
      <w:r w:rsidRPr="00B72ED3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Pedido de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R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eexame. Ministério do meio ambiente 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nstituto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C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hico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endes de conservação da biodiversidade (ICMBIO). Auditoria operacional. Lei 9.985/2000. Recursos da compensação ambiental. Fiscalização e aplicação, sob a ótica da eficiência e eficácia, dos programas governamentais. Ilegalidades gravíssimas comprometedoras da eficácia do sistema e da aplicação dos recursos advindos da compensação ambiental. Absoluta incompatibilidade vertical da instrução normativa 20/2011 do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nstituto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C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hico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endes. Ilegalidade da gestão indireta de recursos, obtidos dos empreendedores privados, destinados à compensação ambiental. Literal violação da lei 9.985/2000 e da pacífica jurisprudência do TCU. Determinações. Remessa ao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inistério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P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úblico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F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>ederal.</w:t>
      </w:r>
    </w:p>
    <w:p w14:paraId="33634D80" w14:textId="77777777" w:rsidR="002450E7" w:rsidRDefault="002450E7" w:rsidP="00B72ED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E452BC0" w14:textId="77777777" w:rsidR="002450E7" w:rsidRDefault="002450E7" w:rsidP="00B72ED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61412F2" w14:textId="03A0E386" w:rsidR="00B72ED3" w:rsidRPr="005C4968" w:rsidRDefault="002450E7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450E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>4</w:t>
      </w:r>
      <w:r w:rsidR="00B72ED3" w:rsidRPr="002450E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 w:rsidR="00B72ED3" w:rsidRPr="00B72ED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Pregão</w:t>
      </w:r>
      <w:proofErr w:type="spellEnd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Representação</w:t>
      </w:r>
      <w:proofErr w:type="spellEnd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Licenciamento ambiental. </w:t>
      </w:r>
      <w:proofErr w:type="spellStart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Comprovação</w:t>
      </w:r>
      <w:proofErr w:type="spellEnd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da regularidade ambiental. </w:t>
      </w:r>
    </w:p>
    <w:p w14:paraId="6B27A295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D53606" w14:textId="5CEAD19B" w:rsidR="00B72ED3" w:rsidRPr="00D26225" w:rsidRDefault="00D26225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D2622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5. </w:t>
      </w:r>
      <w:r w:rsidRPr="00D262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Responsabilidade civil por dano ambiental. Recurso Especial representativo de </w:t>
      </w:r>
      <w:proofErr w:type="spellStart"/>
      <w:r w:rsidRPr="00D262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controvérsia</w:t>
      </w:r>
      <w:proofErr w:type="spellEnd"/>
      <w:r w:rsidRPr="00D262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Art. 543-c do CPC. Danos decorrentes de vazamento de </w:t>
      </w:r>
      <w:proofErr w:type="spellStart"/>
      <w:r w:rsidRPr="00D262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amônia</w:t>
      </w:r>
      <w:proofErr w:type="spellEnd"/>
      <w:r w:rsidRPr="00D2622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no rio Sergipe. Acidente ambiental ocorrido em outubro de 2008. </w:t>
      </w:r>
    </w:p>
    <w:p w14:paraId="55868C40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BF47B2" w14:textId="3F3AF4AA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TRIBUNAL DE CONTAS DO ESTADO DO PARANÁ</w:t>
      </w:r>
    </w:p>
    <w:p w14:paraId="362E4657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0C149055" w14:textId="64F9E761" w:rsidR="00A47032" w:rsidRPr="00A47032" w:rsidRDefault="00A47032" w:rsidP="00A470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Prestação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 contas de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transferência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. Termo de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Convênio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n.</w:t>
      </w:r>
      <w:r>
        <w:rPr>
          <w:rFonts w:ascii="Arial" w:hAnsi="Arial" w:cs="Arial"/>
          <w:b/>
          <w:sz w:val="20"/>
          <w:szCs w:val="20"/>
        </w:rPr>
        <w:t>º</w:t>
      </w:r>
      <w:r w:rsidRPr="00A47032">
        <w:rPr>
          <w:rFonts w:ascii="Arial" w:hAnsi="Arial" w:cs="Arial"/>
          <w:b/>
          <w:sz w:val="20"/>
          <w:szCs w:val="20"/>
        </w:rPr>
        <w:t xml:space="preserve"> 13/2008, formalizado entre o FUNDO ESTADUAL DO MEIO AMBIENTE e o MUNICÍPIO DE PRANCHITA. Projeto de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Recuperação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Áreas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Degradadas em Fundo de Vale. 2.1. Sucessivas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prorrogações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convênio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Conclusão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extemporânea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do objeto.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Alterações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no projeto.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Anuência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do Estado do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Parana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́. Saneamento. 2.2. Pagamento de nota fiscal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após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expirada a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vigência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convênio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. Atraso no repasse dos recursos por parte do Fundo Estadual para o Meio Ambiente,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não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imputável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ao gestor municipal. Afastamento da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restrição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. 2.3. Atraso na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autuação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da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prestação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 contas. Ressalva e multa afastadas, conforme precedentes. 2.4.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Ausência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 extratos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bancários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. Saneamento. 2.5.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Comprovação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devolução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de saldo remanescente. Valor inexistente. Recursos utilizados ao final do ajuste mediante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autorização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 do Instituto Ambiental do </w:t>
      </w:r>
      <w:proofErr w:type="spellStart"/>
      <w:r w:rsidRPr="00A47032">
        <w:rPr>
          <w:rFonts w:ascii="Arial" w:hAnsi="Arial" w:cs="Arial"/>
          <w:b/>
          <w:sz w:val="20"/>
          <w:szCs w:val="20"/>
        </w:rPr>
        <w:t>Parana</w:t>
      </w:r>
      <w:proofErr w:type="spellEnd"/>
      <w:r w:rsidRPr="00A47032">
        <w:rPr>
          <w:rFonts w:ascii="Arial" w:hAnsi="Arial" w:cs="Arial"/>
          <w:b/>
          <w:sz w:val="20"/>
          <w:szCs w:val="20"/>
        </w:rPr>
        <w:t xml:space="preserve">́. Saneamento. 3. Contas regulares. </w:t>
      </w:r>
    </w:p>
    <w:p w14:paraId="2BF26609" w14:textId="77777777" w:rsidR="00B72ED3" w:rsidRPr="00B72ED3" w:rsidRDefault="00B72ED3" w:rsidP="00B72ED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D413460" w14:textId="13AA98EA" w:rsid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TCE-PR, Processo n.º </w:t>
      </w:r>
      <w:r w:rsidR="00A47032">
        <w:rPr>
          <w:rFonts w:ascii="Arial" w:hAnsi="Arial" w:cs="Arial"/>
          <w:sz w:val="20"/>
          <w:szCs w:val="20"/>
        </w:rPr>
        <w:t>50229/08</w:t>
      </w:r>
      <w:r w:rsidRPr="00B72ED3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A47032">
          <w:rPr>
            <w:rStyle w:val="Hyperlink"/>
            <w:rFonts w:ascii="Arial" w:hAnsi="Arial" w:cs="Arial"/>
            <w:b/>
            <w:sz w:val="20"/>
            <w:szCs w:val="20"/>
          </w:rPr>
          <w:t>Acórdão n.º 642/20 – Tribunal Pleno</w:t>
        </w:r>
      </w:hyperlink>
      <w:r w:rsidRPr="00B72ED3">
        <w:rPr>
          <w:rFonts w:ascii="Arial" w:hAnsi="Arial" w:cs="Arial"/>
          <w:sz w:val="20"/>
          <w:szCs w:val="20"/>
        </w:rPr>
        <w:t xml:space="preserve">, Rel. </w:t>
      </w:r>
      <w:r w:rsidR="00A47032">
        <w:rPr>
          <w:rFonts w:ascii="Arial" w:hAnsi="Arial" w:cs="Arial"/>
          <w:sz w:val="20"/>
          <w:szCs w:val="20"/>
        </w:rPr>
        <w:t>Auditor Thiago Barbosa Cordeiro</w:t>
      </w:r>
      <w:r w:rsidRPr="00B72ED3">
        <w:rPr>
          <w:rFonts w:ascii="Arial" w:hAnsi="Arial" w:cs="Arial"/>
          <w:sz w:val="20"/>
          <w:szCs w:val="20"/>
        </w:rPr>
        <w:t>.</w:t>
      </w:r>
    </w:p>
    <w:p w14:paraId="12B8FE96" w14:textId="5E0B6F19" w:rsidR="00A47032" w:rsidRDefault="00A47032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1DF990" w14:textId="27F35EDD" w:rsidR="00A47032" w:rsidRDefault="00A47032" w:rsidP="00A4703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47032"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Representação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da Lei n</w:t>
      </w:r>
      <w:r w:rsidR="00BA4F1C">
        <w:rPr>
          <w:rFonts w:ascii="Arial" w:hAnsi="Arial" w:cs="Arial"/>
          <w:b/>
          <w:bCs/>
          <w:sz w:val="20"/>
          <w:szCs w:val="20"/>
        </w:rPr>
        <w:t>.º</w:t>
      </w:r>
      <w:r w:rsidRPr="00A47032">
        <w:rPr>
          <w:rFonts w:ascii="Arial" w:hAnsi="Arial" w:cs="Arial"/>
          <w:b/>
          <w:bCs/>
          <w:sz w:val="20"/>
          <w:szCs w:val="20"/>
        </w:rPr>
        <w:t xml:space="preserve"> 8.666/93.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Concorrência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Pública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n</w:t>
      </w:r>
      <w:r w:rsidR="00BA4F1C">
        <w:rPr>
          <w:rFonts w:ascii="Arial" w:hAnsi="Arial" w:cs="Arial"/>
          <w:b/>
          <w:bCs/>
          <w:sz w:val="20"/>
          <w:szCs w:val="20"/>
        </w:rPr>
        <w:t>.º</w:t>
      </w:r>
      <w:r w:rsidRPr="00A47032">
        <w:rPr>
          <w:rFonts w:ascii="Arial" w:hAnsi="Arial" w:cs="Arial"/>
          <w:b/>
          <w:bCs/>
          <w:sz w:val="20"/>
          <w:szCs w:val="20"/>
        </w:rPr>
        <w:t xml:space="preserve"> 001/2019.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Concessão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sistema integrado e descentralizado de tratamento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resíduos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disposição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final de rejeitos.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Licitação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suspensa em cumprimento 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determinação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cautelar deste Tribunal.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Apresentação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de medida para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correção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possível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irregularidade que fundamentou 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determinação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Pela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revogação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 da cautelar, com o acompanhamento dos atos saneadores pela Coordenadoria de Acompanhamento de Atos de </w:t>
      </w:r>
      <w:proofErr w:type="spellStart"/>
      <w:r w:rsidRPr="00A47032">
        <w:rPr>
          <w:rFonts w:ascii="Arial" w:hAnsi="Arial" w:cs="Arial"/>
          <w:b/>
          <w:bCs/>
          <w:sz w:val="20"/>
          <w:szCs w:val="20"/>
        </w:rPr>
        <w:t>Gestão</w:t>
      </w:r>
      <w:proofErr w:type="spellEnd"/>
      <w:r w:rsidRPr="00A47032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1FE8D17" w14:textId="3D776FEA" w:rsidR="00A47032" w:rsidRDefault="00A47032" w:rsidP="00A4703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0D4591" w14:textId="3D7C146F" w:rsidR="00A47032" w:rsidRPr="00A47032" w:rsidRDefault="00A47032" w:rsidP="00A4703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 xml:space="preserve">TCE-PR, Processo n.º </w:t>
      </w:r>
      <w:r w:rsidR="00BA4F1C">
        <w:rPr>
          <w:rFonts w:ascii="Arial" w:hAnsi="Arial" w:cs="Arial"/>
          <w:sz w:val="20"/>
          <w:szCs w:val="20"/>
        </w:rPr>
        <w:t>168497/19</w:t>
      </w:r>
      <w:r w:rsidRPr="00B72ED3">
        <w:rPr>
          <w:rFonts w:ascii="Arial" w:hAnsi="Arial" w:cs="Arial"/>
          <w:sz w:val="20"/>
          <w:szCs w:val="20"/>
        </w:rPr>
        <w:t xml:space="preserve">, </w:t>
      </w:r>
      <w:hyperlink r:id="rId9" w:history="1">
        <w:r w:rsidR="00BA4F1C">
          <w:rPr>
            <w:rStyle w:val="Hyperlink"/>
            <w:rFonts w:ascii="Arial" w:hAnsi="Arial" w:cs="Arial"/>
            <w:b/>
            <w:sz w:val="20"/>
            <w:szCs w:val="20"/>
          </w:rPr>
          <w:t>Acórdão n.º 1293/20 – Tribunal Pleno</w:t>
        </w:r>
      </w:hyperlink>
      <w:r w:rsidRPr="00B72ED3">
        <w:rPr>
          <w:rFonts w:ascii="Arial" w:hAnsi="Arial" w:cs="Arial"/>
          <w:sz w:val="20"/>
          <w:szCs w:val="20"/>
        </w:rPr>
        <w:t xml:space="preserve">, Rel. </w:t>
      </w:r>
      <w:r w:rsidR="00BA4F1C">
        <w:rPr>
          <w:rFonts w:ascii="Arial" w:hAnsi="Arial" w:cs="Arial"/>
          <w:sz w:val="20"/>
          <w:szCs w:val="20"/>
        </w:rPr>
        <w:t xml:space="preserve">Cons. Ivens </w:t>
      </w:r>
      <w:proofErr w:type="spellStart"/>
      <w:r w:rsidR="00BA4F1C">
        <w:rPr>
          <w:rFonts w:ascii="Arial" w:hAnsi="Arial" w:cs="Arial"/>
          <w:sz w:val="20"/>
          <w:szCs w:val="20"/>
        </w:rPr>
        <w:t>Zschoerper</w:t>
      </w:r>
      <w:proofErr w:type="spellEnd"/>
      <w:r w:rsidR="00BA4F1C">
        <w:rPr>
          <w:rFonts w:ascii="Arial" w:hAnsi="Arial" w:cs="Arial"/>
          <w:sz w:val="20"/>
          <w:szCs w:val="20"/>
        </w:rPr>
        <w:t xml:space="preserve"> Linhares</w:t>
      </w:r>
      <w:r w:rsidRPr="00B72ED3">
        <w:rPr>
          <w:rFonts w:ascii="Arial" w:hAnsi="Arial" w:cs="Arial"/>
          <w:sz w:val="20"/>
          <w:szCs w:val="20"/>
        </w:rPr>
        <w:t>.</w:t>
      </w:r>
    </w:p>
    <w:p w14:paraId="53C8E730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82F6D5" w14:textId="5D59F693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TRIBUNAL DE CONTAS DA UNIÃO</w:t>
      </w:r>
    </w:p>
    <w:p w14:paraId="50440672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75A34C" w14:textId="1977B81C" w:rsidR="002450E7" w:rsidRDefault="002450E7" w:rsidP="002450E7">
      <w:pPr>
        <w:spacing w:line="276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3</w:t>
      </w:r>
      <w:r w:rsidR="00B72ED3" w:rsidRPr="00B72ED3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Pedido de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R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eexame. Ministério do meio ambiente e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nstituto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C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hico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endes de conservação da biodiversidade (ICMBIO). Auditoria operacional. Lei 9.985/2000. Recursos da compensação ambiental. Fiscalização e aplicação, sob a ótica da eficiência e eficácia, dos programas governamentais. Ilegalidades gravíssimas comprometedoras da eficácia do sistema e da aplicação dos recursos advindos da compensação ambiental. Absoluta incompatibilidade vertical da instrução normativa 20/2011 do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I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nstituto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C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hico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endes. Ilegalidade da gestão indireta de recursos, obtidos dos empreendedores privados, 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 xml:space="preserve">destinados à compensação ambiental. Literal violação da lei 9.985/2000 e da pacífica jurisprudência do TCU. Determinações. Remessa ao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M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inistério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P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 xml:space="preserve">úblico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F</w:t>
      </w:r>
      <w:r w:rsidRPr="002450E7">
        <w:rPr>
          <w:rFonts w:ascii="Arial" w:hAnsi="Arial" w:cs="Arial"/>
          <w:b/>
          <w:sz w:val="20"/>
          <w:szCs w:val="20"/>
          <w:shd w:val="clear" w:color="auto" w:fill="FFFFFF"/>
        </w:rPr>
        <w:t>ederal.</w:t>
      </w:r>
    </w:p>
    <w:p w14:paraId="1ADF0F41" w14:textId="77777777" w:rsidR="002450E7" w:rsidRDefault="002450E7" w:rsidP="002450E7">
      <w:pPr>
        <w:spacing w:line="276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3DD89B8" w14:textId="7A58EA4E" w:rsidR="00B72ED3" w:rsidRPr="002450E7" w:rsidRDefault="002450E7" w:rsidP="002450E7">
      <w:pPr>
        <w:spacing w:line="276" w:lineRule="auto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Nos termos da teoria de Hans Kelsen, toda a legislação em vigor de dado País deve extrair seu fundamento de validade da Constituição, que estabelece encadeamento normativo em que a norma de grau superior dá suporte de validade à norma inferior. Nesses termos, o decreto, a resolução, a instrução normativa e todos os demais atos normativos da Administração devem guardar estrita consonância com a lei, seu fundamento de validade, cuja obediência é </w:t>
      </w:r>
      <w:proofErr w:type="gram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pressuposto</w:t>
      </w:r>
      <w:proofErr w:type="gram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fundamental para a própria validez jurídica do sistema legítimo de atuação estatal. - No caso concreto, a Instrução Normativa 20/2011 do Instituto Chico Mendes instituiu, ao arrepio da Lei 9.985/2000 a possibilidade de execução indireta da obrigação de compor os danos ambientais. Ao fazê-lo, inovou e extrapolou os termos da legislação, tornando-se nula e írrita, uma vez que atenta não só contra os termos expressos da lei 9.985/2000, mas contra a jurisprudência do TCU e contra a própria razão de ser da instituição - em troca de recursos privados - que é a proteção do meio-ambiente. - A Instrução Normativa do Instituto Chico Mendes traveste a obrigação de fazer, expressamente constante da Lei 9.985/2000, de recomposição do meio ambiente, atribuída exclusivamente ao empreendedor, em mera obrigação de dar, mediante a transferência para os seus cofres de recursos privados, em caráter </w:t>
      </w:r>
      <w:proofErr w:type="spell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extraorçamentário</w:t>
      </w:r>
      <w:proofErr w:type="spell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para que o próprio instituto, indiretamente, promova a recuperação ambiental, liberando in </w:t>
      </w:r>
      <w:proofErr w:type="spell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actio</w:t>
      </w:r>
      <w:proofErr w:type="spell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o ente privado responsável. - Subjacente à questão em deslinde, há faustoso conteúdo monetário, uma vez que o interesse dos empreendedores privados é de elidir suas obrigações de fazer, tendentes à efetiva recomposição do meio ambiente, transformando-as em meras obrigações de dar, materializadas em maciças transferências de recursos ao Instituto Chico Mendes, recursos que, somente em relação a Petrobrás, ultrapassam R$ 5.000.000.000,00 (cinco bilhões de reais), para a gestão </w:t>
      </w:r>
      <w:proofErr w:type="spell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extraorçamentária</w:t>
      </w:r>
      <w:proofErr w:type="spell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do </w:t>
      </w:r>
      <w:proofErr w:type="spell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ICMBio</w:t>
      </w:r>
      <w:proofErr w:type="spell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. - Pareceres dos órgãos de análise do TCU, no mesmo sentido do voto do Relator do recurso, para reconhecer a possibilidade de execução direta pelo </w:t>
      </w:r>
      <w:proofErr w:type="spell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ICMBio</w:t>
      </w:r>
      <w:proofErr w:type="spell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, com o transpasse dos valores destinados ao meio-ambiente à entidade, após mudança de orientação em relação aos pareceres anteriores, constantes deste processo. - Voto do Revisor no sentido do desprovimento do recurso, a partir da conclusão de absoluta ilegalidade do ato normativo administrativo - Instrução Normativa 20/2011- da lavra do Instituto Chico Mendes, nos termos da pacífica jurisprudência do Tribunal de Contas da União, com a perspectiva de gestão irregular de recursos federais, a partir da operação </w:t>
      </w:r>
      <w:proofErr w:type="spellStart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>extraorçamentária</w:t>
      </w:r>
      <w:proofErr w:type="spellEnd"/>
      <w:r w:rsidRPr="002450E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dos recursos pela entidade, ao invés de pelos empreendedores privados, no curso da obrigação de fazer - voltada à recomposição do meio-ambiente - como determina a lei. - Remessa de cópia dos autos ao Ministério Público Federal, para a prática dos atos que entender cabíveis.</w:t>
      </w:r>
    </w:p>
    <w:p w14:paraId="44F953C6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4D4D4D"/>
          <w:sz w:val="20"/>
          <w:szCs w:val="20"/>
          <w:shd w:val="clear" w:color="auto" w:fill="FFFFFF"/>
        </w:rPr>
      </w:pPr>
    </w:p>
    <w:p w14:paraId="2C0FBD68" w14:textId="66F8C0F5" w:rsidR="00B72ED3" w:rsidRPr="00B72ED3" w:rsidRDefault="00B72ED3" w:rsidP="00B72ED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  <w:r w:rsidRPr="00B72ED3">
        <w:rPr>
          <w:rFonts w:ascii="Arial" w:hAnsi="Arial" w:cs="Arial"/>
          <w:b/>
          <w:sz w:val="20"/>
          <w:szCs w:val="20"/>
          <w:lang w:val="pt-BR"/>
        </w:rPr>
        <w:t>TC-</w:t>
      </w:r>
      <w:r w:rsidR="002450E7">
        <w:rPr>
          <w:rFonts w:ascii="Arial" w:hAnsi="Arial" w:cs="Arial"/>
          <w:b/>
          <w:sz w:val="20"/>
          <w:szCs w:val="20"/>
          <w:lang w:val="pt-BR"/>
        </w:rPr>
        <w:t>014.293/2012-9</w:t>
      </w:r>
      <w:r w:rsidRPr="00B72ED3">
        <w:rPr>
          <w:rFonts w:ascii="Arial" w:hAnsi="Arial" w:cs="Arial"/>
          <w:sz w:val="20"/>
          <w:szCs w:val="20"/>
          <w:lang w:val="pt-BR"/>
        </w:rPr>
        <w:t xml:space="preserve"> – </w:t>
      </w:r>
      <w:hyperlink r:id="rId10" w:anchor="/documento/acordao-completo/*/NUMACORDAO:1004%20ANOACORDAO:2016%20COLEGIADO:%22Plenário%22/DTRELEVANCIA%20desc,%20NUMACORDAOINT%20desc/0/%20" w:history="1">
        <w:r w:rsidR="002450E7" w:rsidRPr="002450E7">
          <w:rPr>
            <w:rStyle w:val="Hyperlink"/>
            <w:rFonts w:ascii="Arial" w:hAnsi="Arial" w:cs="Arial"/>
            <w:b/>
            <w:bCs/>
            <w:sz w:val="20"/>
            <w:szCs w:val="20"/>
            <w:lang w:val="pt-BR"/>
          </w:rPr>
          <w:t>Acórdão n.º 1004/2016 - Plenário</w:t>
        </w:r>
      </w:hyperlink>
      <w:r w:rsidR="002450E7" w:rsidRPr="002450E7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pt-BR"/>
        </w:rPr>
        <w:t>.</w:t>
      </w:r>
      <w:r w:rsidRPr="002450E7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="002450E7">
        <w:rPr>
          <w:rFonts w:ascii="Arial" w:hAnsi="Arial" w:cs="Arial"/>
          <w:sz w:val="20"/>
          <w:szCs w:val="20"/>
          <w:lang w:val="pt-BR"/>
        </w:rPr>
        <w:t>Pedido de Reexame. Relator Ministro Raimundo Carneiro</w:t>
      </w:r>
      <w:r w:rsidRPr="00B72ED3">
        <w:rPr>
          <w:rFonts w:ascii="Arial" w:hAnsi="Arial" w:cs="Arial"/>
          <w:sz w:val="20"/>
          <w:szCs w:val="20"/>
          <w:lang w:val="pt-BR"/>
        </w:rPr>
        <w:t>.</w:t>
      </w:r>
    </w:p>
    <w:p w14:paraId="72E1F686" w14:textId="77777777" w:rsidR="00B72ED3" w:rsidRPr="00B72ED3" w:rsidRDefault="00B72ED3" w:rsidP="00B72ED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61BB7846" w14:textId="72FA96D6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 xml:space="preserve">TRIBUNAL DE CONTAS DO ESTADO DO </w:t>
      </w:r>
      <w:r w:rsidR="0073429E">
        <w:rPr>
          <w:rFonts w:ascii="Arial" w:hAnsi="Arial" w:cs="Arial"/>
          <w:b/>
          <w:sz w:val="20"/>
          <w:szCs w:val="20"/>
        </w:rPr>
        <w:t>RIO DE JANEIRO</w:t>
      </w:r>
    </w:p>
    <w:p w14:paraId="70021089" w14:textId="77777777" w:rsidR="00B72ED3" w:rsidRPr="00B72ED3" w:rsidRDefault="00B72ED3" w:rsidP="00B72ED3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14:paraId="5BF838E0" w14:textId="1E9C7E45" w:rsidR="005C4968" w:rsidRPr="005C4968" w:rsidRDefault="002450E7" w:rsidP="005C4968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</w:t>
      </w:r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Pregão</w:t>
      </w:r>
      <w:proofErr w:type="spellEnd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Representação</w:t>
      </w:r>
      <w:proofErr w:type="spellEnd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. Licenciamento ambiental. </w:t>
      </w:r>
      <w:proofErr w:type="spellStart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Comprovação</w:t>
      </w:r>
      <w:proofErr w:type="spellEnd"/>
      <w:r w:rsidR="005C4968" w:rsidRPr="005C496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da regularidade ambiental. </w:t>
      </w:r>
    </w:p>
    <w:p w14:paraId="549A02A7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</w:p>
    <w:p w14:paraId="72EC9FC8" w14:textId="77777777" w:rsidR="005C4968" w:rsidRPr="005C4968" w:rsidRDefault="005C4968" w:rsidP="005C4968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Não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há que se falar em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violação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à competitividade no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cenário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em que se exige, de todos os potenciais interessados, o respectivo licenciamento ambiental e demais documentos que comprovem a regularidade ambiental. Em se tratando de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documentação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própria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ao desempenho regular das atividades por empresas do ramo, deve a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Administração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promover, com a devida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antecedência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que exige o planejamento das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licitações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públicas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, a publicidade do instrumento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convocatório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, a fim de que os interessados viabilizem a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obtenção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das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licenças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junto ao </w:t>
      </w:r>
      <w:proofErr w:type="spellStart"/>
      <w:r w:rsidRPr="005C4968">
        <w:rPr>
          <w:rFonts w:ascii="Arial" w:hAnsi="Arial" w:cs="Arial"/>
          <w:sz w:val="20"/>
          <w:szCs w:val="20"/>
          <w:shd w:val="clear" w:color="auto" w:fill="FFFFFF"/>
        </w:rPr>
        <w:t>órgão</w:t>
      </w:r>
      <w:proofErr w:type="spellEnd"/>
      <w:r w:rsidRPr="005C4968">
        <w:rPr>
          <w:rFonts w:ascii="Arial" w:hAnsi="Arial" w:cs="Arial"/>
          <w:sz w:val="20"/>
          <w:szCs w:val="20"/>
          <w:shd w:val="clear" w:color="auto" w:fill="FFFFFF"/>
        </w:rPr>
        <w:t xml:space="preserve"> ambiental competente. </w:t>
      </w:r>
    </w:p>
    <w:p w14:paraId="37CFC4A5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67533DCF" w14:textId="77777777" w:rsidR="005C4968" w:rsidRPr="005C4968" w:rsidRDefault="00B72ED3" w:rsidP="005C496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2ED3">
        <w:rPr>
          <w:rFonts w:ascii="Arial" w:hAnsi="Arial" w:cs="Arial"/>
          <w:sz w:val="20"/>
          <w:szCs w:val="20"/>
        </w:rPr>
        <w:t>TCE-</w:t>
      </w:r>
      <w:r w:rsidR="005C4968">
        <w:rPr>
          <w:rFonts w:ascii="Arial" w:hAnsi="Arial" w:cs="Arial"/>
          <w:sz w:val="20"/>
          <w:szCs w:val="20"/>
        </w:rPr>
        <w:t>RJ</w:t>
      </w:r>
      <w:r w:rsidRPr="005C4968">
        <w:rPr>
          <w:rFonts w:ascii="Arial" w:hAnsi="Arial" w:cs="Arial"/>
          <w:sz w:val="20"/>
          <w:szCs w:val="20"/>
        </w:rPr>
        <w:t>,</w:t>
      </w:r>
      <w:r w:rsidRPr="005C4968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Pr="005C4968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Processo n.º </w:t>
        </w:r>
        <w:r w:rsidR="005C4968" w:rsidRPr="005C4968">
          <w:rPr>
            <w:rStyle w:val="Hyperlink"/>
            <w:rFonts w:ascii="Arial" w:hAnsi="Arial" w:cs="Arial"/>
            <w:b/>
            <w:bCs/>
            <w:sz w:val="20"/>
            <w:szCs w:val="20"/>
          </w:rPr>
          <w:t>240.048-7/19</w:t>
        </w:r>
      </w:hyperlink>
      <w:r w:rsidRPr="00B72ED3">
        <w:rPr>
          <w:rFonts w:ascii="Arial" w:hAnsi="Arial" w:cs="Arial"/>
          <w:sz w:val="20"/>
          <w:szCs w:val="20"/>
        </w:rPr>
        <w:t xml:space="preserve">, Rel. Cons. </w:t>
      </w:r>
      <w:r w:rsidR="005C4968" w:rsidRPr="005C4968">
        <w:rPr>
          <w:rFonts w:ascii="Arial" w:hAnsi="Arial" w:cs="Arial"/>
          <w:sz w:val="20"/>
          <w:szCs w:val="20"/>
        </w:rPr>
        <w:t xml:space="preserve">Conselheiro-Substituto Marcelo </w:t>
      </w:r>
      <w:proofErr w:type="spellStart"/>
      <w:r w:rsidR="005C4968" w:rsidRPr="005C4968">
        <w:rPr>
          <w:rFonts w:ascii="Arial" w:hAnsi="Arial" w:cs="Arial"/>
          <w:sz w:val="20"/>
          <w:szCs w:val="20"/>
        </w:rPr>
        <w:t>Verdini</w:t>
      </w:r>
      <w:proofErr w:type="spellEnd"/>
      <w:r w:rsidR="005C4968" w:rsidRPr="005C4968">
        <w:rPr>
          <w:rFonts w:ascii="Arial" w:hAnsi="Arial" w:cs="Arial"/>
          <w:sz w:val="20"/>
          <w:szCs w:val="20"/>
        </w:rPr>
        <w:t xml:space="preserve"> Maia </w:t>
      </w:r>
    </w:p>
    <w:p w14:paraId="38B7CEC0" w14:textId="7F772E40" w:rsidR="00B72ED3" w:rsidRPr="005C4968" w:rsidRDefault="00B72ED3" w:rsidP="00B72ED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83694C" w14:textId="77777777" w:rsidR="00B72ED3" w:rsidRPr="00B72ED3" w:rsidRDefault="00B72ED3" w:rsidP="00B72ED3">
      <w:pPr>
        <w:spacing w:line="276" w:lineRule="auto"/>
        <w:jc w:val="both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126B88BD" w14:textId="5F5552F2" w:rsidR="00B72ED3" w:rsidRPr="00B72ED3" w:rsidRDefault="00B72ED3" w:rsidP="00B72ED3">
      <w:pPr>
        <w:shd w:val="pct10" w:color="auto" w:fill="auto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Fonts w:ascii="Arial" w:hAnsi="Arial" w:cs="Arial"/>
          <w:b/>
          <w:sz w:val="20"/>
          <w:szCs w:val="20"/>
        </w:rPr>
        <w:t>SUPERIOR TRIBUNAL DE JUSTIÇA</w:t>
      </w:r>
    </w:p>
    <w:p w14:paraId="42698584" w14:textId="77777777" w:rsidR="00B72ED3" w:rsidRPr="00B72ED3" w:rsidRDefault="00B72ED3" w:rsidP="00B72ED3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226C9597" w14:textId="65C4016F" w:rsidR="002450E7" w:rsidRDefault="00D26225" w:rsidP="002450E7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="00B72ED3" w:rsidRPr="00B72ED3">
        <w:rPr>
          <w:rFonts w:ascii="Arial" w:hAnsi="Arial" w:cs="Arial"/>
          <w:b/>
          <w:bCs/>
          <w:color w:val="000000" w:themeColor="text1"/>
        </w:rPr>
        <w:t xml:space="preserve">. </w:t>
      </w:r>
      <w:r w:rsidRPr="002450E7">
        <w:rPr>
          <w:rFonts w:ascii="Arial" w:hAnsi="Arial" w:cs="Arial"/>
          <w:b/>
        </w:rPr>
        <w:t xml:space="preserve">Responsabilidade civil por dano ambiental. Recurso </w:t>
      </w:r>
      <w:r>
        <w:rPr>
          <w:rFonts w:ascii="Arial" w:hAnsi="Arial" w:cs="Arial"/>
          <w:b/>
        </w:rPr>
        <w:t>E</w:t>
      </w:r>
      <w:r w:rsidRPr="002450E7">
        <w:rPr>
          <w:rFonts w:ascii="Arial" w:hAnsi="Arial" w:cs="Arial"/>
          <w:b/>
        </w:rPr>
        <w:t xml:space="preserve">special representativo de </w:t>
      </w:r>
      <w:proofErr w:type="spellStart"/>
      <w:r w:rsidRPr="002450E7">
        <w:rPr>
          <w:rFonts w:ascii="Arial" w:hAnsi="Arial" w:cs="Arial"/>
          <w:b/>
        </w:rPr>
        <w:t>controvérsia</w:t>
      </w:r>
      <w:proofErr w:type="spellEnd"/>
      <w:r w:rsidRPr="002450E7">
        <w:rPr>
          <w:rFonts w:ascii="Arial" w:hAnsi="Arial" w:cs="Arial"/>
          <w:b/>
        </w:rPr>
        <w:t xml:space="preserve">. Art. 543-c do CPC. Danos decorrentes de vazamento de </w:t>
      </w:r>
      <w:proofErr w:type="spellStart"/>
      <w:r w:rsidRPr="002450E7">
        <w:rPr>
          <w:rFonts w:ascii="Arial" w:hAnsi="Arial" w:cs="Arial"/>
          <w:b/>
        </w:rPr>
        <w:t>amônia</w:t>
      </w:r>
      <w:proofErr w:type="spellEnd"/>
      <w:r w:rsidRPr="002450E7">
        <w:rPr>
          <w:rFonts w:ascii="Arial" w:hAnsi="Arial" w:cs="Arial"/>
          <w:b/>
        </w:rPr>
        <w:t xml:space="preserve"> no rio </w:t>
      </w:r>
      <w:r>
        <w:rPr>
          <w:rFonts w:ascii="Arial" w:hAnsi="Arial" w:cs="Arial"/>
          <w:b/>
        </w:rPr>
        <w:t>S</w:t>
      </w:r>
      <w:r w:rsidRPr="002450E7">
        <w:rPr>
          <w:rFonts w:ascii="Arial" w:hAnsi="Arial" w:cs="Arial"/>
          <w:b/>
        </w:rPr>
        <w:t xml:space="preserve">ergipe. Acidente ambiental ocorrido em outubro de 2008. </w:t>
      </w:r>
    </w:p>
    <w:p w14:paraId="7F7F28DA" w14:textId="77777777" w:rsidR="00D26225" w:rsidRPr="002450E7" w:rsidRDefault="00D26225" w:rsidP="002450E7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  <w:b/>
        </w:rPr>
      </w:pPr>
    </w:p>
    <w:p w14:paraId="095FF80A" w14:textId="3777FF5A" w:rsidR="00B72ED3" w:rsidRPr="00D26225" w:rsidRDefault="002450E7" w:rsidP="002450E7">
      <w:pPr>
        <w:pStyle w:val="Pr-formataoHTML"/>
        <w:shd w:val="clear" w:color="auto" w:fill="FFFFFF"/>
        <w:spacing w:before="60" w:after="60" w:line="276" w:lineRule="auto"/>
        <w:jc w:val="both"/>
        <w:rPr>
          <w:rFonts w:ascii="Arial" w:hAnsi="Arial" w:cs="Arial"/>
          <w:bCs/>
        </w:rPr>
      </w:pPr>
      <w:r w:rsidRPr="002450E7">
        <w:rPr>
          <w:rFonts w:ascii="Arial" w:hAnsi="Arial" w:cs="Arial"/>
          <w:bCs/>
        </w:rPr>
        <w:t xml:space="preserve">1. Para fins do art. 543-C do </w:t>
      </w:r>
      <w:proofErr w:type="spellStart"/>
      <w:r w:rsidRPr="002450E7">
        <w:rPr>
          <w:rFonts w:ascii="Arial" w:hAnsi="Arial" w:cs="Arial"/>
          <w:bCs/>
        </w:rPr>
        <w:t>Código</w:t>
      </w:r>
      <w:proofErr w:type="spellEnd"/>
      <w:r w:rsidRPr="002450E7">
        <w:rPr>
          <w:rFonts w:ascii="Arial" w:hAnsi="Arial" w:cs="Arial"/>
          <w:bCs/>
        </w:rPr>
        <w:t xml:space="preserve"> de Processo Civil: a) para </w:t>
      </w:r>
      <w:proofErr w:type="spellStart"/>
      <w:r w:rsidRPr="002450E7">
        <w:rPr>
          <w:rFonts w:ascii="Arial" w:hAnsi="Arial" w:cs="Arial"/>
          <w:bCs/>
        </w:rPr>
        <w:t>demonstração</w:t>
      </w:r>
      <w:proofErr w:type="spellEnd"/>
      <w:r w:rsidRPr="002450E7">
        <w:rPr>
          <w:rFonts w:ascii="Arial" w:hAnsi="Arial" w:cs="Arial"/>
          <w:bCs/>
        </w:rPr>
        <w:t xml:space="preserve"> da legitimidade para vindicar </w:t>
      </w:r>
      <w:proofErr w:type="spellStart"/>
      <w:r w:rsidRPr="002450E7">
        <w:rPr>
          <w:rFonts w:ascii="Arial" w:hAnsi="Arial" w:cs="Arial"/>
          <w:bCs/>
        </w:rPr>
        <w:t>indenização</w:t>
      </w:r>
      <w:proofErr w:type="spellEnd"/>
      <w:r w:rsidRPr="002450E7">
        <w:rPr>
          <w:rFonts w:ascii="Arial" w:hAnsi="Arial" w:cs="Arial"/>
          <w:bCs/>
        </w:rPr>
        <w:t xml:space="preserve"> por dano ambiental que resultou na </w:t>
      </w:r>
      <w:proofErr w:type="spellStart"/>
      <w:r w:rsidRPr="002450E7">
        <w:rPr>
          <w:rFonts w:ascii="Arial" w:hAnsi="Arial" w:cs="Arial"/>
          <w:bCs/>
        </w:rPr>
        <w:t>redução</w:t>
      </w:r>
      <w:proofErr w:type="spellEnd"/>
      <w:r w:rsidRPr="002450E7">
        <w:rPr>
          <w:rFonts w:ascii="Arial" w:hAnsi="Arial" w:cs="Arial"/>
          <w:bCs/>
        </w:rPr>
        <w:t xml:space="preserve"> da pesca na </w:t>
      </w:r>
      <w:proofErr w:type="spellStart"/>
      <w:r w:rsidRPr="002450E7">
        <w:rPr>
          <w:rFonts w:ascii="Arial" w:hAnsi="Arial" w:cs="Arial"/>
          <w:bCs/>
        </w:rPr>
        <w:t>área</w:t>
      </w:r>
      <w:proofErr w:type="spellEnd"/>
      <w:r w:rsidRPr="002450E7">
        <w:rPr>
          <w:rFonts w:ascii="Arial" w:hAnsi="Arial" w:cs="Arial"/>
          <w:bCs/>
        </w:rPr>
        <w:t xml:space="preserve"> atingida, o registro de pescador profissional e a </w:t>
      </w:r>
      <w:proofErr w:type="spellStart"/>
      <w:r w:rsidRPr="002450E7">
        <w:rPr>
          <w:rFonts w:ascii="Arial" w:hAnsi="Arial" w:cs="Arial"/>
          <w:bCs/>
        </w:rPr>
        <w:t>habilitação</w:t>
      </w:r>
      <w:proofErr w:type="spellEnd"/>
      <w:r w:rsidRPr="002450E7">
        <w:rPr>
          <w:rFonts w:ascii="Arial" w:hAnsi="Arial" w:cs="Arial"/>
          <w:bCs/>
        </w:rPr>
        <w:t xml:space="preserve"> ao </w:t>
      </w:r>
      <w:proofErr w:type="spellStart"/>
      <w:r w:rsidRPr="002450E7">
        <w:rPr>
          <w:rFonts w:ascii="Arial" w:hAnsi="Arial" w:cs="Arial"/>
          <w:bCs/>
        </w:rPr>
        <w:t>benefício</w:t>
      </w:r>
      <w:proofErr w:type="spellEnd"/>
      <w:r w:rsidRPr="002450E7">
        <w:rPr>
          <w:rFonts w:ascii="Arial" w:hAnsi="Arial" w:cs="Arial"/>
          <w:bCs/>
        </w:rPr>
        <w:t xml:space="preserve"> do seguro-desemprego, durante o </w:t>
      </w:r>
      <w:proofErr w:type="spellStart"/>
      <w:r w:rsidRPr="002450E7">
        <w:rPr>
          <w:rFonts w:ascii="Arial" w:hAnsi="Arial" w:cs="Arial"/>
          <w:bCs/>
        </w:rPr>
        <w:t>período</w:t>
      </w:r>
      <w:proofErr w:type="spellEnd"/>
      <w:r w:rsidRPr="002450E7">
        <w:rPr>
          <w:rFonts w:ascii="Arial" w:hAnsi="Arial" w:cs="Arial"/>
          <w:bCs/>
        </w:rPr>
        <w:t xml:space="preserve"> de defeso, somados a outros elementos de prova que permitam o convencimento do magistrado acerca do </w:t>
      </w:r>
      <w:proofErr w:type="spellStart"/>
      <w:r w:rsidRPr="002450E7">
        <w:rPr>
          <w:rFonts w:ascii="Arial" w:hAnsi="Arial" w:cs="Arial"/>
          <w:bCs/>
        </w:rPr>
        <w:t>exercício</w:t>
      </w:r>
      <w:proofErr w:type="spellEnd"/>
      <w:r w:rsidRPr="002450E7">
        <w:rPr>
          <w:rFonts w:ascii="Arial" w:hAnsi="Arial" w:cs="Arial"/>
          <w:bCs/>
        </w:rPr>
        <w:t xml:space="preserve"> dessa atividade, </w:t>
      </w:r>
      <w:proofErr w:type="spellStart"/>
      <w:r w:rsidRPr="002450E7">
        <w:rPr>
          <w:rFonts w:ascii="Arial" w:hAnsi="Arial" w:cs="Arial"/>
          <w:bCs/>
        </w:rPr>
        <w:t>são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idôneos</w:t>
      </w:r>
      <w:proofErr w:type="spellEnd"/>
      <w:r w:rsidRPr="002450E7">
        <w:rPr>
          <w:rFonts w:ascii="Arial" w:hAnsi="Arial" w:cs="Arial"/>
          <w:bCs/>
        </w:rPr>
        <w:t xml:space="preserve"> à sua </w:t>
      </w:r>
      <w:proofErr w:type="spellStart"/>
      <w:r w:rsidRPr="002450E7">
        <w:rPr>
          <w:rFonts w:ascii="Arial" w:hAnsi="Arial" w:cs="Arial"/>
          <w:bCs/>
        </w:rPr>
        <w:t>comprovação</w:t>
      </w:r>
      <w:proofErr w:type="spellEnd"/>
      <w:r w:rsidRPr="002450E7">
        <w:rPr>
          <w:rFonts w:ascii="Arial" w:hAnsi="Arial" w:cs="Arial"/>
          <w:bCs/>
        </w:rPr>
        <w:t xml:space="preserve">; b) a responsabilidade por dano ambiental é objetiva, informada pela teoria do risco integral, sendo o nexo de causalidade o fator aglutinante que permite que o risco se integre na unidade do ato, sendo descabida a </w:t>
      </w:r>
      <w:proofErr w:type="spellStart"/>
      <w:r w:rsidRPr="002450E7">
        <w:rPr>
          <w:rFonts w:ascii="Arial" w:hAnsi="Arial" w:cs="Arial"/>
          <w:bCs/>
        </w:rPr>
        <w:t>invocação</w:t>
      </w:r>
      <w:proofErr w:type="spellEnd"/>
      <w:r w:rsidRPr="002450E7">
        <w:rPr>
          <w:rFonts w:ascii="Arial" w:hAnsi="Arial" w:cs="Arial"/>
          <w:bCs/>
        </w:rPr>
        <w:t xml:space="preserve">, pela empresa </w:t>
      </w:r>
      <w:proofErr w:type="spellStart"/>
      <w:r w:rsidRPr="002450E7">
        <w:rPr>
          <w:rFonts w:ascii="Arial" w:hAnsi="Arial" w:cs="Arial"/>
          <w:bCs/>
        </w:rPr>
        <w:t>responsável</w:t>
      </w:r>
      <w:proofErr w:type="spellEnd"/>
      <w:r w:rsidRPr="002450E7">
        <w:rPr>
          <w:rFonts w:ascii="Arial" w:hAnsi="Arial" w:cs="Arial"/>
          <w:bCs/>
        </w:rPr>
        <w:t xml:space="preserve"> pelo dano ambiental, de excludentes de responsabilidade civil para afastar a sua </w:t>
      </w:r>
      <w:proofErr w:type="spellStart"/>
      <w:r w:rsidRPr="002450E7">
        <w:rPr>
          <w:rFonts w:ascii="Arial" w:hAnsi="Arial" w:cs="Arial"/>
          <w:bCs/>
        </w:rPr>
        <w:t>obrigação</w:t>
      </w:r>
      <w:proofErr w:type="spellEnd"/>
      <w:r w:rsidRPr="002450E7">
        <w:rPr>
          <w:rFonts w:ascii="Arial" w:hAnsi="Arial" w:cs="Arial"/>
          <w:bCs/>
        </w:rPr>
        <w:t xml:space="preserve"> de indenizar; c) é inadequado pretender conferir à </w:t>
      </w:r>
      <w:proofErr w:type="spellStart"/>
      <w:r w:rsidRPr="002450E7">
        <w:rPr>
          <w:rFonts w:ascii="Arial" w:hAnsi="Arial" w:cs="Arial"/>
          <w:bCs/>
        </w:rPr>
        <w:t>reparação</w:t>
      </w:r>
      <w:proofErr w:type="spellEnd"/>
      <w:r w:rsidRPr="002450E7">
        <w:rPr>
          <w:rFonts w:ascii="Arial" w:hAnsi="Arial" w:cs="Arial"/>
          <w:bCs/>
        </w:rPr>
        <w:t xml:space="preserve"> civil dos danos ambientais </w:t>
      </w:r>
      <w:proofErr w:type="spellStart"/>
      <w:r w:rsidRPr="002450E7">
        <w:rPr>
          <w:rFonts w:ascii="Arial" w:hAnsi="Arial" w:cs="Arial"/>
          <w:bCs/>
        </w:rPr>
        <w:t>caráter</w:t>
      </w:r>
      <w:proofErr w:type="spellEnd"/>
      <w:r w:rsidRPr="002450E7">
        <w:rPr>
          <w:rFonts w:ascii="Arial" w:hAnsi="Arial" w:cs="Arial"/>
          <w:bCs/>
        </w:rPr>
        <w:t xml:space="preserve"> punitivo imediato, pois a </w:t>
      </w:r>
      <w:proofErr w:type="spellStart"/>
      <w:r w:rsidRPr="002450E7">
        <w:rPr>
          <w:rFonts w:ascii="Arial" w:hAnsi="Arial" w:cs="Arial"/>
          <w:bCs/>
        </w:rPr>
        <w:t>punição</w:t>
      </w:r>
      <w:proofErr w:type="spellEnd"/>
      <w:r w:rsidRPr="002450E7">
        <w:rPr>
          <w:rFonts w:ascii="Arial" w:hAnsi="Arial" w:cs="Arial"/>
          <w:bCs/>
        </w:rPr>
        <w:t xml:space="preserve"> é </w:t>
      </w:r>
      <w:proofErr w:type="spellStart"/>
      <w:r w:rsidRPr="002450E7">
        <w:rPr>
          <w:rFonts w:ascii="Arial" w:hAnsi="Arial" w:cs="Arial"/>
          <w:bCs/>
        </w:rPr>
        <w:t>função</w:t>
      </w:r>
      <w:proofErr w:type="spellEnd"/>
      <w:r w:rsidRPr="002450E7">
        <w:rPr>
          <w:rFonts w:ascii="Arial" w:hAnsi="Arial" w:cs="Arial"/>
          <w:bCs/>
        </w:rPr>
        <w:t xml:space="preserve"> que incumbe ao direito penal e administrativo; d) em vista das </w:t>
      </w:r>
      <w:proofErr w:type="spellStart"/>
      <w:r w:rsidRPr="002450E7">
        <w:rPr>
          <w:rFonts w:ascii="Arial" w:hAnsi="Arial" w:cs="Arial"/>
          <w:bCs/>
        </w:rPr>
        <w:t>circunstâncias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específicas</w:t>
      </w:r>
      <w:proofErr w:type="spellEnd"/>
      <w:r w:rsidRPr="002450E7">
        <w:rPr>
          <w:rFonts w:ascii="Arial" w:hAnsi="Arial" w:cs="Arial"/>
          <w:bCs/>
        </w:rPr>
        <w:t xml:space="preserve"> e homogeneidade dos efeitos do dano ambiental verificado no ecossistema do rio Sergipe - afetando significativamente, por cerca de seis meses, o volume pescado e a renda dos pescadores na </w:t>
      </w:r>
      <w:proofErr w:type="spellStart"/>
      <w:r w:rsidRPr="002450E7">
        <w:rPr>
          <w:rFonts w:ascii="Arial" w:hAnsi="Arial" w:cs="Arial"/>
          <w:bCs/>
        </w:rPr>
        <w:t>região</w:t>
      </w:r>
      <w:proofErr w:type="spellEnd"/>
      <w:r w:rsidRPr="002450E7">
        <w:rPr>
          <w:rFonts w:ascii="Arial" w:hAnsi="Arial" w:cs="Arial"/>
          <w:bCs/>
        </w:rPr>
        <w:t xml:space="preserve"> afetada -, sem que tenha sido dado amparo pela poluidora para </w:t>
      </w:r>
      <w:proofErr w:type="spellStart"/>
      <w:r w:rsidRPr="002450E7">
        <w:rPr>
          <w:rFonts w:ascii="Arial" w:hAnsi="Arial" w:cs="Arial"/>
          <w:bCs/>
        </w:rPr>
        <w:t>mitigação</w:t>
      </w:r>
      <w:proofErr w:type="spellEnd"/>
      <w:r w:rsidRPr="002450E7">
        <w:rPr>
          <w:rFonts w:ascii="Arial" w:hAnsi="Arial" w:cs="Arial"/>
          <w:bCs/>
        </w:rPr>
        <w:t xml:space="preserve"> dos danos morais experimentados e demonstrados por aqueles que extraem o sustento da pesca profissional, </w:t>
      </w:r>
      <w:proofErr w:type="spellStart"/>
      <w:r w:rsidRPr="002450E7">
        <w:rPr>
          <w:rFonts w:ascii="Arial" w:hAnsi="Arial" w:cs="Arial"/>
          <w:bCs/>
        </w:rPr>
        <w:t>não</w:t>
      </w:r>
      <w:proofErr w:type="spellEnd"/>
      <w:r w:rsidRPr="002450E7">
        <w:rPr>
          <w:rFonts w:ascii="Arial" w:hAnsi="Arial" w:cs="Arial"/>
          <w:bCs/>
        </w:rPr>
        <w:t xml:space="preserve"> se justifica, em sede de recurso especial, a </w:t>
      </w:r>
      <w:proofErr w:type="spellStart"/>
      <w:r w:rsidRPr="002450E7">
        <w:rPr>
          <w:rFonts w:ascii="Arial" w:hAnsi="Arial" w:cs="Arial"/>
          <w:bCs/>
        </w:rPr>
        <w:t>revisão</w:t>
      </w:r>
      <w:proofErr w:type="spellEnd"/>
      <w:r w:rsidRPr="002450E7">
        <w:rPr>
          <w:rFonts w:ascii="Arial" w:hAnsi="Arial" w:cs="Arial"/>
          <w:bCs/>
        </w:rPr>
        <w:t xml:space="preserve"> do quantum arbitrado, a </w:t>
      </w:r>
      <w:proofErr w:type="spellStart"/>
      <w:r w:rsidRPr="002450E7">
        <w:rPr>
          <w:rFonts w:ascii="Arial" w:hAnsi="Arial" w:cs="Arial"/>
          <w:bCs/>
        </w:rPr>
        <w:t>título</w:t>
      </w:r>
      <w:proofErr w:type="spellEnd"/>
      <w:r w:rsidRPr="002450E7">
        <w:rPr>
          <w:rFonts w:ascii="Arial" w:hAnsi="Arial" w:cs="Arial"/>
          <w:bCs/>
        </w:rPr>
        <w:t xml:space="preserve"> de </w:t>
      </w:r>
      <w:proofErr w:type="spellStart"/>
      <w:r w:rsidRPr="002450E7">
        <w:rPr>
          <w:rFonts w:ascii="Arial" w:hAnsi="Arial" w:cs="Arial"/>
          <w:bCs/>
        </w:rPr>
        <w:t>compensação</w:t>
      </w:r>
      <w:proofErr w:type="spellEnd"/>
      <w:r w:rsidRPr="002450E7">
        <w:rPr>
          <w:rFonts w:ascii="Arial" w:hAnsi="Arial" w:cs="Arial"/>
          <w:bCs/>
        </w:rPr>
        <w:t xml:space="preserve"> por danos morais, em R$ 3.000,00 (</w:t>
      </w:r>
      <w:proofErr w:type="spellStart"/>
      <w:r w:rsidRPr="002450E7">
        <w:rPr>
          <w:rFonts w:ascii="Arial" w:hAnsi="Arial" w:cs="Arial"/>
          <w:bCs/>
        </w:rPr>
        <w:t>três</w:t>
      </w:r>
      <w:proofErr w:type="spellEnd"/>
      <w:r w:rsidRPr="002450E7">
        <w:rPr>
          <w:rFonts w:ascii="Arial" w:hAnsi="Arial" w:cs="Arial"/>
          <w:bCs/>
        </w:rPr>
        <w:t xml:space="preserve"> mil reais); e) o dano material somente é </w:t>
      </w:r>
      <w:proofErr w:type="spellStart"/>
      <w:r w:rsidRPr="002450E7">
        <w:rPr>
          <w:rFonts w:ascii="Arial" w:hAnsi="Arial" w:cs="Arial"/>
          <w:bCs/>
        </w:rPr>
        <w:t>indenizável</w:t>
      </w:r>
      <w:proofErr w:type="spellEnd"/>
      <w:r w:rsidRPr="002450E7">
        <w:rPr>
          <w:rFonts w:ascii="Arial" w:hAnsi="Arial" w:cs="Arial"/>
          <w:bCs/>
        </w:rPr>
        <w:t xml:space="preserve"> mediante prova efetiva de sua </w:t>
      </w:r>
      <w:proofErr w:type="spellStart"/>
      <w:r w:rsidRPr="002450E7">
        <w:rPr>
          <w:rFonts w:ascii="Arial" w:hAnsi="Arial" w:cs="Arial"/>
          <w:bCs/>
        </w:rPr>
        <w:t>ocorrência</w:t>
      </w:r>
      <w:proofErr w:type="spellEnd"/>
      <w:r w:rsidRPr="002450E7">
        <w:rPr>
          <w:rFonts w:ascii="Arial" w:hAnsi="Arial" w:cs="Arial"/>
          <w:bCs/>
        </w:rPr>
        <w:t xml:space="preserve">, </w:t>
      </w:r>
      <w:proofErr w:type="spellStart"/>
      <w:r w:rsidRPr="002450E7">
        <w:rPr>
          <w:rFonts w:ascii="Arial" w:hAnsi="Arial" w:cs="Arial"/>
          <w:bCs/>
        </w:rPr>
        <w:t>não</w:t>
      </w:r>
      <w:proofErr w:type="spellEnd"/>
      <w:r w:rsidRPr="002450E7">
        <w:rPr>
          <w:rFonts w:ascii="Arial" w:hAnsi="Arial" w:cs="Arial"/>
          <w:bCs/>
        </w:rPr>
        <w:t xml:space="preserve"> havendo falar em </w:t>
      </w:r>
      <w:proofErr w:type="spellStart"/>
      <w:r w:rsidRPr="002450E7">
        <w:rPr>
          <w:rFonts w:ascii="Arial" w:hAnsi="Arial" w:cs="Arial"/>
          <w:bCs/>
        </w:rPr>
        <w:t>indenização</w:t>
      </w:r>
      <w:proofErr w:type="spellEnd"/>
      <w:r w:rsidRPr="002450E7">
        <w:rPr>
          <w:rFonts w:ascii="Arial" w:hAnsi="Arial" w:cs="Arial"/>
          <w:bCs/>
        </w:rPr>
        <w:t xml:space="preserve"> por lucros cessantes dissociada do dano efetivamente demonstrado nos autos; assim, se durante o interregno em que foram experimentados os efeitos do dano ambiental houve o </w:t>
      </w:r>
      <w:proofErr w:type="spellStart"/>
      <w:r w:rsidRPr="002450E7">
        <w:rPr>
          <w:rFonts w:ascii="Arial" w:hAnsi="Arial" w:cs="Arial"/>
          <w:bCs/>
        </w:rPr>
        <w:t>período</w:t>
      </w:r>
      <w:proofErr w:type="spellEnd"/>
      <w:r w:rsidRPr="002450E7">
        <w:rPr>
          <w:rFonts w:ascii="Arial" w:hAnsi="Arial" w:cs="Arial"/>
          <w:bCs/>
        </w:rPr>
        <w:t xml:space="preserve"> de "defeso" - incidindo a </w:t>
      </w:r>
      <w:proofErr w:type="spellStart"/>
      <w:r w:rsidRPr="002450E7">
        <w:rPr>
          <w:rFonts w:ascii="Arial" w:hAnsi="Arial" w:cs="Arial"/>
          <w:bCs/>
        </w:rPr>
        <w:t>proibição</w:t>
      </w:r>
      <w:proofErr w:type="spellEnd"/>
      <w:r w:rsidRPr="002450E7">
        <w:rPr>
          <w:rFonts w:ascii="Arial" w:hAnsi="Arial" w:cs="Arial"/>
          <w:bCs/>
        </w:rPr>
        <w:t xml:space="preserve"> sobre toda atividade de pesca do lesado -, </w:t>
      </w:r>
      <w:proofErr w:type="spellStart"/>
      <w:r w:rsidRPr="002450E7">
        <w:rPr>
          <w:rFonts w:ascii="Arial" w:hAnsi="Arial" w:cs="Arial"/>
          <w:bCs/>
        </w:rPr>
        <w:t>não</w:t>
      </w:r>
      <w:proofErr w:type="spellEnd"/>
      <w:r w:rsidRPr="002450E7">
        <w:rPr>
          <w:rFonts w:ascii="Arial" w:hAnsi="Arial" w:cs="Arial"/>
          <w:bCs/>
        </w:rPr>
        <w:t xml:space="preserve"> há cogitar em </w:t>
      </w:r>
      <w:proofErr w:type="spellStart"/>
      <w:r w:rsidRPr="002450E7">
        <w:rPr>
          <w:rFonts w:ascii="Arial" w:hAnsi="Arial" w:cs="Arial"/>
          <w:bCs/>
        </w:rPr>
        <w:t>indenização</w:t>
      </w:r>
      <w:proofErr w:type="spellEnd"/>
      <w:r w:rsidRPr="002450E7">
        <w:rPr>
          <w:rFonts w:ascii="Arial" w:hAnsi="Arial" w:cs="Arial"/>
          <w:bCs/>
        </w:rPr>
        <w:t xml:space="preserve"> por lucros cessantes durante essa </w:t>
      </w:r>
      <w:proofErr w:type="spellStart"/>
      <w:r w:rsidRPr="002450E7">
        <w:rPr>
          <w:rFonts w:ascii="Arial" w:hAnsi="Arial" w:cs="Arial"/>
          <w:bCs/>
        </w:rPr>
        <w:t>vedação</w:t>
      </w:r>
      <w:proofErr w:type="spellEnd"/>
      <w:r w:rsidRPr="002450E7">
        <w:rPr>
          <w:rFonts w:ascii="Arial" w:hAnsi="Arial" w:cs="Arial"/>
          <w:bCs/>
        </w:rPr>
        <w:t xml:space="preserve">; f) no caso concreto, os </w:t>
      </w:r>
      <w:proofErr w:type="spellStart"/>
      <w:r w:rsidRPr="002450E7">
        <w:rPr>
          <w:rFonts w:ascii="Arial" w:hAnsi="Arial" w:cs="Arial"/>
          <w:bCs/>
        </w:rPr>
        <w:t>honorários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advocatícios</w:t>
      </w:r>
      <w:proofErr w:type="spellEnd"/>
      <w:r w:rsidRPr="002450E7">
        <w:rPr>
          <w:rFonts w:ascii="Arial" w:hAnsi="Arial" w:cs="Arial"/>
          <w:bCs/>
        </w:rPr>
        <w:t xml:space="preserve">, fixados em 20% (vinte por cento) do valor da </w:t>
      </w:r>
      <w:proofErr w:type="spellStart"/>
      <w:r w:rsidRPr="002450E7">
        <w:rPr>
          <w:rFonts w:ascii="Arial" w:hAnsi="Arial" w:cs="Arial"/>
          <w:bCs/>
        </w:rPr>
        <w:t>condenação</w:t>
      </w:r>
      <w:proofErr w:type="spellEnd"/>
      <w:r w:rsidRPr="002450E7">
        <w:rPr>
          <w:rFonts w:ascii="Arial" w:hAnsi="Arial" w:cs="Arial"/>
          <w:bCs/>
        </w:rPr>
        <w:t xml:space="preserve"> arbitrada para o acidente - em </w:t>
      </w:r>
      <w:proofErr w:type="spellStart"/>
      <w:r w:rsidRPr="002450E7">
        <w:rPr>
          <w:rFonts w:ascii="Arial" w:hAnsi="Arial" w:cs="Arial"/>
          <w:bCs/>
        </w:rPr>
        <w:t>atenção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às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características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específicas</w:t>
      </w:r>
      <w:proofErr w:type="spellEnd"/>
      <w:r w:rsidRPr="002450E7">
        <w:rPr>
          <w:rFonts w:ascii="Arial" w:hAnsi="Arial" w:cs="Arial"/>
          <w:bCs/>
        </w:rPr>
        <w:t xml:space="preserve"> da demanda e à ampla </w:t>
      </w:r>
      <w:proofErr w:type="spellStart"/>
      <w:r w:rsidRPr="002450E7">
        <w:rPr>
          <w:rFonts w:ascii="Arial" w:hAnsi="Arial" w:cs="Arial"/>
          <w:bCs/>
        </w:rPr>
        <w:t>dilação</w:t>
      </w:r>
      <w:proofErr w:type="spellEnd"/>
      <w:r w:rsidRPr="002450E7">
        <w:rPr>
          <w:rFonts w:ascii="Arial" w:hAnsi="Arial" w:cs="Arial"/>
          <w:bCs/>
        </w:rPr>
        <w:t xml:space="preserve"> </w:t>
      </w:r>
      <w:proofErr w:type="spellStart"/>
      <w:r w:rsidRPr="002450E7">
        <w:rPr>
          <w:rFonts w:ascii="Arial" w:hAnsi="Arial" w:cs="Arial"/>
          <w:bCs/>
        </w:rPr>
        <w:t>probatória</w:t>
      </w:r>
      <w:proofErr w:type="spellEnd"/>
      <w:r w:rsidRPr="002450E7">
        <w:rPr>
          <w:rFonts w:ascii="Arial" w:hAnsi="Arial" w:cs="Arial"/>
          <w:bCs/>
        </w:rPr>
        <w:t xml:space="preserve"> -, mostram-se adequados, </w:t>
      </w:r>
      <w:proofErr w:type="spellStart"/>
      <w:r w:rsidRPr="002450E7">
        <w:rPr>
          <w:rFonts w:ascii="Arial" w:hAnsi="Arial" w:cs="Arial"/>
          <w:bCs/>
        </w:rPr>
        <w:t>não</w:t>
      </w:r>
      <w:proofErr w:type="spellEnd"/>
      <w:r w:rsidRPr="002450E7">
        <w:rPr>
          <w:rFonts w:ascii="Arial" w:hAnsi="Arial" w:cs="Arial"/>
          <w:bCs/>
        </w:rPr>
        <w:t xml:space="preserve"> se justificando a </w:t>
      </w:r>
      <w:proofErr w:type="spellStart"/>
      <w:r w:rsidRPr="002450E7">
        <w:rPr>
          <w:rFonts w:ascii="Arial" w:hAnsi="Arial" w:cs="Arial"/>
          <w:bCs/>
        </w:rPr>
        <w:t>revisão</w:t>
      </w:r>
      <w:proofErr w:type="spellEnd"/>
      <w:r w:rsidRPr="002450E7">
        <w:rPr>
          <w:rFonts w:ascii="Arial" w:hAnsi="Arial" w:cs="Arial"/>
          <w:bCs/>
        </w:rPr>
        <w:t xml:space="preserve">, em sede de recurso especial. </w:t>
      </w:r>
    </w:p>
    <w:p w14:paraId="41BB4FC1" w14:textId="5D7BBD23" w:rsidR="00B72ED3" w:rsidRDefault="00AA48FE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hyperlink r:id="rId12" w:history="1">
        <w:proofErr w:type="spellStart"/>
        <w:r w:rsidR="00D26225">
          <w:rPr>
            <w:rStyle w:val="Hyperlink"/>
            <w:rFonts w:ascii="Arial" w:hAnsi="Arial" w:cs="Arial"/>
          </w:rPr>
          <w:t>REsp</w:t>
        </w:r>
        <w:proofErr w:type="spellEnd"/>
        <w:r w:rsidR="00D26225">
          <w:rPr>
            <w:rStyle w:val="Hyperlink"/>
            <w:rFonts w:ascii="Arial" w:hAnsi="Arial" w:cs="Arial"/>
          </w:rPr>
          <w:t xml:space="preserve"> 1.354.236-SE</w:t>
        </w:r>
      </w:hyperlink>
      <w:r w:rsidR="00B72ED3" w:rsidRPr="00B72ED3">
        <w:rPr>
          <w:rFonts w:ascii="Arial" w:hAnsi="Arial" w:cs="Arial"/>
          <w:color w:val="000000" w:themeColor="text1"/>
        </w:rPr>
        <w:t xml:space="preserve">, Rel. </w:t>
      </w:r>
      <w:proofErr w:type="spellStart"/>
      <w:r w:rsidR="00D26225">
        <w:rPr>
          <w:rFonts w:ascii="Arial" w:hAnsi="Arial" w:cs="Arial"/>
          <w:color w:val="000000" w:themeColor="text1"/>
        </w:rPr>
        <w:t>Luis</w:t>
      </w:r>
      <w:proofErr w:type="spellEnd"/>
      <w:r w:rsidR="00D26225">
        <w:rPr>
          <w:rFonts w:ascii="Arial" w:hAnsi="Arial" w:cs="Arial"/>
          <w:color w:val="000000" w:themeColor="text1"/>
        </w:rPr>
        <w:t xml:space="preserve"> Felipe Salomão</w:t>
      </w:r>
      <w:r w:rsidR="00B72ED3" w:rsidRPr="00B72ED3">
        <w:rPr>
          <w:rFonts w:ascii="Arial" w:hAnsi="Arial" w:cs="Arial"/>
          <w:color w:val="000000" w:themeColor="text1"/>
        </w:rPr>
        <w:t xml:space="preserve">, SEGUNDA </w:t>
      </w:r>
      <w:r w:rsidR="00D26225">
        <w:rPr>
          <w:rFonts w:ascii="Arial" w:hAnsi="Arial" w:cs="Arial"/>
          <w:color w:val="000000" w:themeColor="text1"/>
        </w:rPr>
        <w:t>SEÇÃO</w:t>
      </w:r>
      <w:r w:rsidR="00B72ED3" w:rsidRPr="00B72ED3">
        <w:rPr>
          <w:rFonts w:ascii="Arial" w:hAnsi="Arial" w:cs="Arial"/>
          <w:color w:val="000000" w:themeColor="text1"/>
        </w:rPr>
        <w:t xml:space="preserve">, julgado em </w:t>
      </w:r>
      <w:r w:rsidR="00D26225">
        <w:rPr>
          <w:rFonts w:ascii="Arial" w:hAnsi="Arial" w:cs="Arial"/>
          <w:color w:val="000000" w:themeColor="text1"/>
        </w:rPr>
        <w:t>26</w:t>
      </w:r>
      <w:r w:rsidR="00B72ED3" w:rsidRPr="00B72ED3">
        <w:rPr>
          <w:rFonts w:ascii="Arial" w:hAnsi="Arial" w:cs="Arial"/>
          <w:color w:val="000000" w:themeColor="text1"/>
        </w:rPr>
        <w:t>/</w:t>
      </w:r>
      <w:r w:rsidR="00D26225">
        <w:rPr>
          <w:rFonts w:ascii="Arial" w:hAnsi="Arial" w:cs="Arial"/>
          <w:color w:val="000000" w:themeColor="text1"/>
        </w:rPr>
        <w:t>03</w:t>
      </w:r>
      <w:r w:rsidR="00B72ED3" w:rsidRPr="00B72ED3">
        <w:rPr>
          <w:rFonts w:ascii="Arial" w:hAnsi="Arial" w:cs="Arial"/>
          <w:color w:val="000000" w:themeColor="text1"/>
        </w:rPr>
        <w:t>/201</w:t>
      </w:r>
      <w:r w:rsidR="00D26225">
        <w:rPr>
          <w:rFonts w:ascii="Arial" w:hAnsi="Arial" w:cs="Arial"/>
          <w:color w:val="000000" w:themeColor="text1"/>
        </w:rPr>
        <w:t>4. Tema repetitivo n.º 834.</w:t>
      </w:r>
    </w:p>
    <w:p w14:paraId="57EBC30A" w14:textId="77777777" w:rsidR="00D255CD" w:rsidRPr="00B72ED3" w:rsidRDefault="00D255CD" w:rsidP="00B72ED3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14:paraId="14A79721" w14:textId="675BFD2E" w:rsidR="00543DF0" w:rsidRPr="00B72ED3" w:rsidRDefault="00543DF0" w:rsidP="00B72ED3">
      <w:pPr>
        <w:pStyle w:val="Default"/>
        <w:spacing w:line="276" w:lineRule="auto"/>
        <w:jc w:val="center"/>
        <w:rPr>
          <w:b/>
          <w:sz w:val="20"/>
          <w:szCs w:val="20"/>
        </w:rPr>
      </w:pPr>
      <w:r w:rsidRPr="00B72ED3">
        <w:rPr>
          <w:b/>
          <w:sz w:val="20"/>
          <w:szCs w:val="20"/>
        </w:rPr>
        <w:t>Acesse também:</w:t>
      </w:r>
    </w:p>
    <w:p w14:paraId="7C5D90F2" w14:textId="77777777" w:rsidR="0002789E" w:rsidRPr="00B72ED3" w:rsidRDefault="00AA48FE" w:rsidP="00B72ED3">
      <w:pPr>
        <w:pStyle w:val="Default"/>
        <w:spacing w:line="276" w:lineRule="auto"/>
        <w:jc w:val="center"/>
        <w:rPr>
          <w:rStyle w:val="Hyperlink"/>
          <w:sz w:val="20"/>
          <w:szCs w:val="20"/>
        </w:rPr>
      </w:pPr>
      <w:hyperlink r:id="rId13" w:history="1">
        <w:r w:rsidR="0002789E" w:rsidRPr="00B72ED3">
          <w:rPr>
            <w:rStyle w:val="Hyperlink"/>
            <w:b/>
            <w:sz w:val="20"/>
            <w:szCs w:val="20"/>
          </w:rPr>
          <w:t>Pesquisas Prontas</w:t>
        </w:r>
      </w:hyperlink>
    </w:p>
    <w:p w14:paraId="2C8E8A74" w14:textId="77777777" w:rsidR="0002789E" w:rsidRPr="00B72ED3" w:rsidRDefault="0002789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73624566" w14:textId="77777777" w:rsidR="0002789E" w:rsidRPr="00B72ED3" w:rsidRDefault="00AA48F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4" w:history="1">
        <w:r w:rsidR="0002789E" w:rsidRPr="00B72ED3">
          <w:rPr>
            <w:rStyle w:val="Hyperlink"/>
            <w:b/>
            <w:sz w:val="20"/>
            <w:szCs w:val="20"/>
          </w:rPr>
          <w:t>Boletim Informativo de Jurisprudência</w:t>
        </w:r>
      </w:hyperlink>
    </w:p>
    <w:p w14:paraId="1C0D6247" w14:textId="77777777" w:rsidR="0002789E" w:rsidRPr="00B72ED3" w:rsidRDefault="0002789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487FF9F6" w14:textId="77777777" w:rsidR="0002789E" w:rsidRPr="00B72ED3" w:rsidRDefault="00AA48FE" w:rsidP="00B72ED3">
      <w:pPr>
        <w:pStyle w:val="Default"/>
        <w:spacing w:line="276" w:lineRule="auto"/>
        <w:jc w:val="center"/>
        <w:rPr>
          <w:sz w:val="20"/>
          <w:szCs w:val="20"/>
        </w:rPr>
      </w:pPr>
      <w:hyperlink r:id="rId15" w:history="1">
        <w:proofErr w:type="spellStart"/>
        <w:r w:rsidR="0002789E" w:rsidRPr="00B72ED3">
          <w:rPr>
            <w:rStyle w:val="Hyperlink"/>
            <w:b/>
            <w:sz w:val="20"/>
            <w:szCs w:val="20"/>
          </w:rPr>
          <w:t>Interjuris</w:t>
        </w:r>
        <w:proofErr w:type="spellEnd"/>
      </w:hyperlink>
    </w:p>
    <w:p w14:paraId="70A526BC" w14:textId="77777777" w:rsidR="0002789E" w:rsidRPr="00B72ED3" w:rsidRDefault="0002789E" w:rsidP="00B72ED3">
      <w:pPr>
        <w:pStyle w:val="Default"/>
        <w:spacing w:line="276" w:lineRule="auto"/>
        <w:jc w:val="center"/>
        <w:rPr>
          <w:sz w:val="20"/>
          <w:szCs w:val="20"/>
        </w:rPr>
      </w:pPr>
    </w:p>
    <w:p w14:paraId="0ACBE85F" w14:textId="77777777" w:rsidR="0002789E" w:rsidRPr="00B72ED3" w:rsidRDefault="00AA48F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6" w:history="1">
        <w:r w:rsidR="0002789E" w:rsidRPr="00B72ED3">
          <w:rPr>
            <w:rStyle w:val="Hyperlink"/>
            <w:b/>
            <w:sz w:val="20"/>
            <w:szCs w:val="20"/>
          </w:rPr>
          <w:t>Repercussão Geral do Supremo Tribunal Federal - STF e os Tribunais de Contas</w:t>
        </w:r>
      </w:hyperlink>
    </w:p>
    <w:p w14:paraId="4B9E318B" w14:textId="77777777" w:rsidR="0002789E" w:rsidRPr="00B72ED3" w:rsidRDefault="0002789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</w:p>
    <w:p w14:paraId="0EDF81B5" w14:textId="77777777" w:rsidR="0002789E" w:rsidRPr="00B72ED3" w:rsidRDefault="00AA48FE" w:rsidP="00B72ED3">
      <w:pPr>
        <w:pStyle w:val="Default"/>
        <w:spacing w:line="276" w:lineRule="auto"/>
        <w:jc w:val="center"/>
        <w:rPr>
          <w:rStyle w:val="Hyperlink"/>
          <w:b/>
          <w:sz w:val="20"/>
          <w:szCs w:val="20"/>
        </w:rPr>
      </w:pPr>
      <w:hyperlink r:id="rId17" w:history="1">
        <w:r w:rsidR="0002789E" w:rsidRPr="00B72ED3">
          <w:rPr>
            <w:rStyle w:val="Hyperlink"/>
            <w:b/>
            <w:sz w:val="20"/>
            <w:szCs w:val="20"/>
          </w:rPr>
          <w:t>Súmulas Selecionadas</w:t>
        </w:r>
      </w:hyperlink>
    </w:p>
    <w:p w14:paraId="2F7FB8EC" w14:textId="77777777" w:rsidR="00270E2F" w:rsidRPr="00B72ED3" w:rsidRDefault="00270E2F" w:rsidP="00B72ED3">
      <w:pPr>
        <w:pStyle w:val="TCU-Epgrafe"/>
        <w:spacing w:line="276" w:lineRule="auto"/>
        <w:ind w:left="0"/>
        <w:jc w:val="center"/>
        <w:rPr>
          <w:rFonts w:ascii="Arial" w:hAnsi="Arial" w:cs="Arial"/>
          <w:sz w:val="20"/>
        </w:rPr>
      </w:pPr>
      <w:r w:rsidRPr="00B72ED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935BE1" wp14:editId="0C3872BA">
                <wp:simplePos x="0" y="0"/>
                <wp:positionH relativeFrom="margin">
                  <wp:posOffset>-18205</wp:posOffset>
                </wp:positionH>
                <wp:positionV relativeFrom="paragraph">
                  <wp:posOffset>117229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0740" id="Conector reto 5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9.25pt" to="433.0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APlyCb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1E60A1A" w14:textId="77777777" w:rsidR="00984E8B" w:rsidRPr="00B72ED3" w:rsidRDefault="00984E8B" w:rsidP="00B72ED3">
      <w:pPr>
        <w:spacing w:line="276" w:lineRule="auto"/>
        <w:jc w:val="center"/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</w:pPr>
    </w:p>
    <w:p w14:paraId="011E7585" w14:textId="77777777" w:rsidR="00DB558E" w:rsidRPr="00B72ED3" w:rsidRDefault="00DB558E" w:rsidP="00B72ED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72ED3">
        <w:rPr>
          <w:rStyle w:val="Hyperlink"/>
          <w:rFonts w:ascii="Arial" w:hAnsi="Arial" w:cs="Arial"/>
          <w:i/>
          <w:color w:val="000000" w:themeColor="text1"/>
          <w:sz w:val="20"/>
          <w:szCs w:val="20"/>
          <w:u w:val="none"/>
        </w:rPr>
        <w:t>Elaboração: Escola de Gestão Pública - Jurisprudência</w:t>
      </w:r>
    </w:p>
    <w:p w14:paraId="088F1C47" w14:textId="77777777" w:rsidR="00DB558E" w:rsidRPr="00B72ED3" w:rsidRDefault="00DB558E" w:rsidP="00B72ED3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753C82AB" w14:textId="77777777" w:rsidR="00E01524" w:rsidRPr="00B72ED3" w:rsidRDefault="00E01524" w:rsidP="00B72ED3">
      <w:pPr>
        <w:pStyle w:val="TCU-Epgrafe"/>
        <w:spacing w:line="276" w:lineRule="auto"/>
        <w:ind w:left="0"/>
        <w:jc w:val="center"/>
        <w:rPr>
          <w:rFonts w:ascii="Arial" w:hAnsi="Arial" w:cs="Arial"/>
          <w:b/>
          <w:sz w:val="20"/>
        </w:rPr>
      </w:pPr>
    </w:p>
    <w:sectPr w:rsidR="00E01524" w:rsidRPr="00B72ED3">
      <w:headerReference w:type="default" r:id="rId18"/>
      <w:foot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CFBB7" w14:textId="77777777" w:rsidR="00AA48FE" w:rsidRDefault="00AA48FE" w:rsidP="00350CC2">
      <w:r>
        <w:separator/>
      </w:r>
    </w:p>
  </w:endnote>
  <w:endnote w:type="continuationSeparator" w:id="0">
    <w:p w14:paraId="1F89A5B8" w14:textId="77777777" w:rsidR="00AA48FE" w:rsidRDefault="00AA48FE" w:rsidP="0035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AF15" w14:textId="77777777"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323DBF1D" wp14:editId="05D98FFC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DAB92" w14:textId="77777777"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7A6BA1">
      <w:rPr>
        <w:noProof/>
        <w:sz w:val="16"/>
        <w:szCs w:val="16"/>
      </w:rPr>
      <w:t>3</w:t>
    </w:r>
    <w:r w:rsidRPr="00722924">
      <w:rPr>
        <w:sz w:val="16"/>
        <w:szCs w:val="16"/>
      </w:rPr>
      <w:fldChar w:fldCharType="end"/>
    </w:r>
  </w:p>
  <w:p w14:paraId="294BCBF1" w14:textId="77777777" w:rsidR="00375DB6" w:rsidRDefault="00375DB6"/>
  <w:p w14:paraId="5BDBB677" w14:textId="77777777" w:rsidR="00375DB6" w:rsidRDefault="00375DB6"/>
  <w:p w14:paraId="16F3CBE0" w14:textId="77777777"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59294" w14:textId="77777777" w:rsidR="00AA48FE" w:rsidRDefault="00AA48FE" w:rsidP="00350CC2">
      <w:r>
        <w:separator/>
      </w:r>
    </w:p>
  </w:footnote>
  <w:footnote w:type="continuationSeparator" w:id="0">
    <w:p w14:paraId="3169F7E0" w14:textId="77777777" w:rsidR="00AA48FE" w:rsidRDefault="00AA48FE" w:rsidP="00350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D407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</w:p>
  <w:p w14:paraId="1117CB5D" w14:textId="77777777"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6A3749B5" wp14:editId="6613827D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76FF">
      <w:rPr>
        <w:noProof/>
        <w:lang w:eastAsia="pt-BR"/>
      </w:rPr>
      <w:drawing>
        <wp:inline distT="0" distB="0" distL="0" distR="0" wp14:anchorId="1581D82B" wp14:editId="314EAC89">
          <wp:extent cx="1245870" cy="779780"/>
          <wp:effectExtent l="0" t="0" r="0" b="1270"/>
          <wp:docPr id="2" name="Imagem 2" descr="C:\Users\tc518280\AppData\Local\Microsoft\Windows\INetCache\Content.Word\Logo-Teses-Ambientais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tc518280\AppData\Local\Microsoft\Windows\INetCache\Content.Word\Logo-Teses-Ambientais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074B"/>
    <w:multiLevelType w:val="multilevel"/>
    <w:tmpl w:val="E104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60B5D"/>
    <w:multiLevelType w:val="multilevel"/>
    <w:tmpl w:val="621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57408"/>
    <w:multiLevelType w:val="multilevel"/>
    <w:tmpl w:val="6966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1F2C"/>
    <w:multiLevelType w:val="multilevel"/>
    <w:tmpl w:val="2D76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44EA1"/>
    <w:multiLevelType w:val="multilevel"/>
    <w:tmpl w:val="7EE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D384D"/>
    <w:multiLevelType w:val="multilevel"/>
    <w:tmpl w:val="60FC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705C"/>
    <w:multiLevelType w:val="multilevel"/>
    <w:tmpl w:val="8C0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C523F"/>
    <w:multiLevelType w:val="multilevel"/>
    <w:tmpl w:val="EEC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5A12"/>
    <w:multiLevelType w:val="multilevel"/>
    <w:tmpl w:val="801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48BB"/>
    <w:multiLevelType w:val="multilevel"/>
    <w:tmpl w:val="FC8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EF341B"/>
    <w:multiLevelType w:val="hybridMultilevel"/>
    <w:tmpl w:val="F04C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35A9E"/>
    <w:multiLevelType w:val="multilevel"/>
    <w:tmpl w:val="3630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4E5F26"/>
    <w:multiLevelType w:val="multilevel"/>
    <w:tmpl w:val="E5E4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23"/>
  </w:num>
  <w:num w:numId="5">
    <w:abstractNumId w:val="24"/>
  </w:num>
  <w:num w:numId="6">
    <w:abstractNumId w:val="17"/>
  </w:num>
  <w:num w:numId="7">
    <w:abstractNumId w:val="0"/>
  </w:num>
  <w:num w:numId="8">
    <w:abstractNumId w:val="3"/>
  </w:num>
  <w:num w:numId="9">
    <w:abstractNumId w:val="11"/>
  </w:num>
  <w:num w:numId="10">
    <w:abstractNumId w:val="5"/>
  </w:num>
  <w:num w:numId="11">
    <w:abstractNumId w:val="6"/>
  </w:num>
  <w:num w:numId="12">
    <w:abstractNumId w:val="15"/>
  </w:num>
  <w:num w:numId="13">
    <w:abstractNumId w:val="4"/>
  </w:num>
  <w:num w:numId="14">
    <w:abstractNumId w:val="8"/>
  </w:num>
  <w:num w:numId="15">
    <w:abstractNumId w:val="16"/>
  </w:num>
  <w:num w:numId="16">
    <w:abstractNumId w:val="20"/>
  </w:num>
  <w:num w:numId="17">
    <w:abstractNumId w:val="9"/>
  </w:num>
  <w:num w:numId="18">
    <w:abstractNumId w:val="1"/>
  </w:num>
  <w:num w:numId="19">
    <w:abstractNumId w:val="14"/>
  </w:num>
  <w:num w:numId="20">
    <w:abstractNumId w:val="18"/>
  </w:num>
  <w:num w:numId="21">
    <w:abstractNumId w:val="10"/>
  </w:num>
  <w:num w:numId="22">
    <w:abstractNumId w:val="21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91"/>
    <w:rsid w:val="00001F0E"/>
    <w:rsid w:val="00003020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691"/>
    <w:rsid w:val="00013840"/>
    <w:rsid w:val="00015B58"/>
    <w:rsid w:val="00015FB0"/>
    <w:rsid w:val="00017EBA"/>
    <w:rsid w:val="00021B0A"/>
    <w:rsid w:val="00022D68"/>
    <w:rsid w:val="00025971"/>
    <w:rsid w:val="00025E26"/>
    <w:rsid w:val="000262AD"/>
    <w:rsid w:val="0002789E"/>
    <w:rsid w:val="00027A03"/>
    <w:rsid w:val="00027FAB"/>
    <w:rsid w:val="000300F4"/>
    <w:rsid w:val="00032A26"/>
    <w:rsid w:val="00033422"/>
    <w:rsid w:val="00033E69"/>
    <w:rsid w:val="00040EBA"/>
    <w:rsid w:val="00042502"/>
    <w:rsid w:val="00042DF3"/>
    <w:rsid w:val="000433EC"/>
    <w:rsid w:val="000439FD"/>
    <w:rsid w:val="00045700"/>
    <w:rsid w:val="00046191"/>
    <w:rsid w:val="00046E21"/>
    <w:rsid w:val="00047709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3F9F"/>
    <w:rsid w:val="00074287"/>
    <w:rsid w:val="000747BF"/>
    <w:rsid w:val="00074FAB"/>
    <w:rsid w:val="000759E5"/>
    <w:rsid w:val="00076184"/>
    <w:rsid w:val="000800D1"/>
    <w:rsid w:val="00081051"/>
    <w:rsid w:val="0009260D"/>
    <w:rsid w:val="000926D4"/>
    <w:rsid w:val="00092E5D"/>
    <w:rsid w:val="0009482D"/>
    <w:rsid w:val="0009711C"/>
    <w:rsid w:val="0009762F"/>
    <w:rsid w:val="00097B00"/>
    <w:rsid w:val="000A05C5"/>
    <w:rsid w:val="000A06BE"/>
    <w:rsid w:val="000A0748"/>
    <w:rsid w:val="000A0E48"/>
    <w:rsid w:val="000A29BE"/>
    <w:rsid w:val="000A3C2D"/>
    <w:rsid w:val="000A3E63"/>
    <w:rsid w:val="000A47FD"/>
    <w:rsid w:val="000A4EB6"/>
    <w:rsid w:val="000A5F01"/>
    <w:rsid w:val="000A71D1"/>
    <w:rsid w:val="000B04A0"/>
    <w:rsid w:val="000B11D2"/>
    <w:rsid w:val="000B1E10"/>
    <w:rsid w:val="000B2FD9"/>
    <w:rsid w:val="000B311A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560C"/>
    <w:rsid w:val="000D6D01"/>
    <w:rsid w:val="000E1F93"/>
    <w:rsid w:val="000E300B"/>
    <w:rsid w:val="000E3ACE"/>
    <w:rsid w:val="000E3FC6"/>
    <w:rsid w:val="000E464B"/>
    <w:rsid w:val="000E485E"/>
    <w:rsid w:val="000E5AC8"/>
    <w:rsid w:val="000F04ED"/>
    <w:rsid w:val="000F18DA"/>
    <w:rsid w:val="000F1FFA"/>
    <w:rsid w:val="000F314C"/>
    <w:rsid w:val="000F639D"/>
    <w:rsid w:val="000F7C1B"/>
    <w:rsid w:val="00100B9C"/>
    <w:rsid w:val="00106AA9"/>
    <w:rsid w:val="00106B27"/>
    <w:rsid w:val="00110517"/>
    <w:rsid w:val="00110BD6"/>
    <w:rsid w:val="001119DC"/>
    <w:rsid w:val="00111B86"/>
    <w:rsid w:val="00111C26"/>
    <w:rsid w:val="00112B60"/>
    <w:rsid w:val="0011394D"/>
    <w:rsid w:val="00113EF1"/>
    <w:rsid w:val="00114B62"/>
    <w:rsid w:val="001159C9"/>
    <w:rsid w:val="00120862"/>
    <w:rsid w:val="00121A99"/>
    <w:rsid w:val="0012211A"/>
    <w:rsid w:val="00122E13"/>
    <w:rsid w:val="00123D02"/>
    <w:rsid w:val="0012498C"/>
    <w:rsid w:val="00124A0F"/>
    <w:rsid w:val="00126447"/>
    <w:rsid w:val="00127DF2"/>
    <w:rsid w:val="00130717"/>
    <w:rsid w:val="0013298B"/>
    <w:rsid w:val="0013396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29D8"/>
    <w:rsid w:val="00155E99"/>
    <w:rsid w:val="00156185"/>
    <w:rsid w:val="00156F74"/>
    <w:rsid w:val="00157806"/>
    <w:rsid w:val="00157D64"/>
    <w:rsid w:val="0016028F"/>
    <w:rsid w:val="00161AA2"/>
    <w:rsid w:val="0016670D"/>
    <w:rsid w:val="00166A96"/>
    <w:rsid w:val="00170F9D"/>
    <w:rsid w:val="00171401"/>
    <w:rsid w:val="001720EB"/>
    <w:rsid w:val="00172248"/>
    <w:rsid w:val="0017455D"/>
    <w:rsid w:val="001770AF"/>
    <w:rsid w:val="001800A9"/>
    <w:rsid w:val="001823E7"/>
    <w:rsid w:val="0018272D"/>
    <w:rsid w:val="0018361F"/>
    <w:rsid w:val="00190B94"/>
    <w:rsid w:val="001927A5"/>
    <w:rsid w:val="001930D1"/>
    <w:rsid w:val="001942C5"/>
    <w:rsid w:val="00196437"/>
    <w:rsid w:val="001975AB"/>
    <w:rsid w:val="001A16DE"/>
    <w:rsid w:val="001A1F53"/>
    <w:rsid w:val="001A5D2D"/>
    <w:rsid w:val="001A73A2"/>
    <w:rsid w:val="001B096B"/>
    <w:rsid w:val="001B5B65"/>
    <w:rsid w:val="001B5F7A"/>
    <w:rsid w:val="001B6E08"/>
    <w:rsid w:val="001C0F23"/>
    <w:rsid w:val="001C46A8"/>
    <w:rsid w:val="001D0693"/>
    <w:rsid w:val="001D0DD1"/>
    <w:rsid w:val="001D4D9A"/>
    <w:rsid w:val="001D51BD"/>
    <w:rsid w:val="001D6665"/>
    <w:rsid w:val="001D684B"/>
    <w:rsid w:val="001D6ADC"/>
    <w:rsid w:val="001D7E4B"/>
    <w:rsid w:val="001E1817"/>
    <w:rsid w:val="001E2E5A"/>
    <w:rsid w:val="001E38CC"/>
    <w:rsid w:val="001E5F2E"/>
    <w:rsid w:val="001E6CAA"/>
    <w:rsid w:val="001E73FF"/>
    <w:rsid w:val="001E75A7"/>
    <w:rsid w:val="001F0424"/>
    <w:rsid w:val="001F7A25"/>
    <w:rsid w:val="00200A2C"/>
    <w:rsid w:val="002013D1"/>
    <w:rsid w:val="0020195B"/>
    <w:rsid w:val="00202E6D"/>
    <w:rsid w:val="00202F4B"/>
    <w:rsid w:val="002036C8"/>
    <w:rsid w:val="002100EE"/>
    <w:rsid w:val="00211A49"/>
    <w:rsid w:val="00213BD0"/>
    <w:rsid w:val="002147AC"/>
    <w:rsid w:val="00215BFE"/>
    <w:rsid w:val="00215EF3"/>
    <w:rsid w:val="0022060B"/>
    <w:rsid w:val="00220BB1"/>
    <w:rsid w:val="00221D15"/>
    <w:rsid w:val="00223A59"/>
    <w:rsid w:val="00223F1C"/>
    <w:rsid w:val="002245DE"/>
    <w:rsid w:val="00224904"/>
    <w:rsid w:val="002313A0"/>
    <w:rsid w:val="00232878"/>
    <w:rsid w:val="0023318C"/>
    <w:rsid w:val="00234AE0"/>
    <w:rsid w:val="00235F82"/>
    <w:rsid w:val="00236689"/>
    <w:rsid w:val="00237C21"/>
    <w:rsid w:val="0024200E"/>
    <w:rsid w:val="002426C3"/>
    <w:rsid w:val="00243F9F"/>
    <w:rsid w:val="002450AA"/>
    <w:rsid w:val="002450E7"/>
    <w:rsid w:val="002456AD"/>
    <w:rsid w:val="00245F7B"/>
    <w:rsid w:val="002478B9"/>
    <w:rsid w:val="00251273"/>
    <w:rsid w:val="00252A2A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4F10"/>
    <w:rsid w:val="0026510B"/>
    <w:rsid w:val="002659BA"/>
    <w:rsid w:val="0026729F"/>
    <w:rsid w:val="00270E2F"/>
    <w:rsid w:val="00271154"/>
    <w:rsid w:val="00271655"/>
    <w:rsid w:val="002805F1"/>
    <w:rsid w:val="00282C4C"/>
    <w:rsid w:val="00286EB4"/>
    <w:rsid w:val="002874A2"/>
    <w:rsid w:val="002921E2"/>
    <w:rsid w:val="0029566D"/>
    <w:rsid w:val="00295F4B"/>
    <w:rsid w:val="002A00AC"/>
    <w:rsid w:val="002A00E8"/>
    <w:rsid w:val="002A0792"/>
    <w:rsid w:val="002A1D5F"/>
    <w:rsid w:val="002A2E6C"/>
    <w:rsid w:val="002A365A"/>
    <w:rsid w:val="002B070A"/>
    <w:rsid w:val="002B0F20"/>
    <w:rsid w:val="002B14B7"/>
    <w:rsid w:val="002B297F"/>
    <w:rsid w:val="002B38A8"/>
    <w:rsid w:val="002B5E9F"/>
    <w:rsid w:val="002B69CC"/>
    <w:rsid w:val="002B6BA0"/>
    <w:rsid w:val="002C05FF"/>
    <w:rsid w:val="002C19EA"/>
    <w:rsid w:val="002C3EA5"/>
    <w:rsid w:val="002C480F"/>
    <w:rsid w:val="002C56C9"/>
    <w:rsid w:val="002C7487"/>
    <w:rsid w:val="002D1923"/>
    <w:rsid w:val="002D48D1"/>
    <w:rsid w:val="002D5B56"/>
    <w:rsid w:val="002D6612"/>
    <w:rsid w:val="002D722B"/>
    <w:rsid w:val="002D7650"/>
    <w:rsid w:val="002E09B1"/>
    <w:rsid w:val="002E0A60"/>
    <w:rsid w:val="002E4277"/>
    <w:rsid w:val="002E5303"/>
    <w:rsid w:val="002E6626"/>
    <w:rsid w:val="002E72FA"/>
    <w:rsid w:val="002E7DFF"/>
    <w:rsid w:val="002F0BE9"/>
    <w:rsid w:val="002F0E1D"/>
    <w:rsid w:val="002F13A0"/>
    <w:rsid w:val="002F1634"/>
    <w:rsid w:val="002F1848"/>
    <w:rsid w:val="002F1D70"/>
    <w:rsid w:val="002F22FA"/>
    <w:rsid w:val="002F73BA"/>
    <w:rsid w:val="002F7BA5"/>
    <w:rsid w:val="003005B3"/>
    <w:rsid w:val="0030165B"/>
    <w:rsid w:val="00302340"/>
    <w:rsid w:val="00303C9C"/>
    <w:rsid w:val="00305A67"/>
    <w:rsid w:val="00306B80"/>
    <w:rsid w:val="00307038"/>
    <w:rsid w:val="00313238"/>
    <w:rsid w:val="003132BE"/>
    <w:rsid w:val="00313733"/>
    <w:rsid w:val="00320577"/>
    <w:rsid w:val="0032266D"/>
    <w:rsid w:val="00325E2F"/>
    <w:rsid w:val="003265DB"/>
    <w:rsid w:val="003269A9"/>
    <w:rsid w:val="00327DF9"/>
    <w:rsid w:val="0033073E"/>
    <w:rsid w:val="00331533"/>
    <w:rsid w:val="0033240F"/>
    <w:rsid w:val="0033270E"/>
    <w:rsid w:val="00333875"/>
    <w:rsid w:val="0033604C"/>
    <w:rsid w:val="003407F0"/>
    <w:rsid w:val="00342B5C"/>
    <w:rsid w:val="00343C28"/>
    <w:rsid w:val="00344A3D"/>
    <w:rsid w:val="00344A41"/>
    <w:rsid w:val="0034575E"/>
    <w:rsid w:val="00345C65"/>
    <w:rsid w:val="0035048F"/>
    <w:rsid w:val="00350CC2"/>
    <w:rsid w:val="00351206"/>
    <w:rsid w:val="0035203F"/>
    <w:rsid w:val="003528A1"/>
    <w:rsid w:val="00352A72"/>
    <w:rsid w:val="0035371B"/>
    <w:rsid w:val="00353FEB"/>
    <w:rsid w:val="0035491E"/>
    <w:rsid w:val="00356987"/>
    <w:rsid w:val="00356FB0"/>
    <w:rsid w:val="00360429"/>
    <w:rsid w:val="00360B11"/>
    <w:rsid w:val="00361DA5"/>
    <w:rsid w:val="00361F1D"/>
    <w:rsid w:val="00362451"/>
    <w:rsid w:val="00364392"/>
    <w:rsid w:val="00365E61"/>
    <w:rsid w:val="00365EFF"/>
    <w:rsid w:val="00365F51"/>
    <w:rsid w:val="00373E05"/>
    <w:rsid w:val="00375692"/>
    <w:rsid w:val="00375DB6"/>
    <w:rsid w:val="0038012F"/>
    <w:rsid w:val="00380BAB"/>
    <w:rsid w:val="00381783"/>
    <w:rsid w:val="00381A0E"/>
    <w:rsid w:val="003854BD"/>
    <w:rsid w:val="0038751C"/>
    <w:rsid w:val="0038778B"/>
    <w:rsid w:val="00393AE3"/>
    <w:rsid w:val="00394451"/>
    <w:rsid w:val="0039584A"/>
    <w:rsid w:val="0039625A"/>
    <w:rsid w:val="00396E93"/>
    <w:rsid w:val="003A4828"/>
    <w:rsid w:val="003A64CB"/>
    <w:rsid w:val="003A6622"/>
    <w:rsid w:val="003A673F"/>
    <w:rsid w:val="003B145D"/>
    <w:rsid w:val="003B4678"/>
    <w:rsid w:val="003B4F77"/>
    <w:rsid w:val="003B502C"/>
    <w:rsid w:val="003C6B35"/>
    <w:rsid w:val="003C7C21"/>
    <w:rsid w:val="003D0632"/>
    <w:rsid w:val="003D48A6"/>
    <w:rsid w:val="003D650C"/>
    <w:rsid w:val="003D6713"/>
    <w:rsid w:val="003D6E90"/>
    <w:rsid w:val="003D704E"/>
    <w:rsid w:val="003D7C37"/>
    <w:rsid w:val="003E110D"/>
    <w:rsid w:val="003E3529"/>
    <w:rsid w:val="003E3D02"/>
    <w:rsid w:val="003E3E6A"/>
    <w:rsid w:val="003E55BC"/>
    <w:rsid w:val="003E6EAF"/>
    <w:rsid w:val="003F0088"/>
    <w:rsid w:val="003F03C6"/>
    <w:rsid w:val="003F2DDE"/>
    <w:rsid w:val="003F314F"/>
    <w:rsid w:val="003F4721"/>
    <w:rsid w:val="003F5060"/>
    <w:rsid w:val="003F5829"/>
    <w:rsid w:val="003F63DA"/>
    <w:rsid w:val="003F677C"/>
    <w:rsid w:val="003F7090"/>
    <w:rsid w:val="00401EE0"/>
    <w:rsid w:val="004043AD"/>
    <w:rsid w:val="00405A6A"/>
    <w:rsid w:val="00406D2C"/>
    <w:rsid w:val="0041120A"/>
    <w:rsid w:val="00411935"/>
    <w:rsid w:val="0041337A"/>
    <w:rsid w:val="0041637A"/>
    <w:rsid w:val="00416A72"/>
    <w:rsid w:val="00420AE1"/>
    <w:rsid w:val="00424D0F"/>
    <w:rsid w:val="0042728A"/>
    <w:rsid w:val="004276DC"/>
    <w:rsid w:val="0042779B"/>
    <w:rsid w:val="00427BD4"/>
    <w:rsid w:val="0043291F"/>
    <w:rsid w:val="00434347"/>
    <w:rsid w:val="004371F9"/>
    <w:rsid w:val="0043728E"/>
    <w:rsid w:val="00437541"/>
    <w:rsid w:val="00441D38"/>
    <w:rsid w:val="00441E59"/>
    <w:rsid w:val="004429A2"/>
    <w:rsid w:val="00442CB7"/>
    <w:rsid w:val="00443CA1"/>
    <w:rsid w:val="00444C25"/>
    <w:rsid w:val="0044532C"/>
    <w:rsid w:val="00447BB2"/>
    <w:rsid w:val="004527ED"/>
    <w:rsid w:val="00455387"/>
    <w:rsid w:val="00455AAB"/>
    <w:rsid w:val="00457317"/>
    <w:rsid w:val="004611E1"/>
    <w:rsid w:val="0046165B"/>
    <w:rsid w:val="004621CA"/>
    <w:rsid w:val="00462460"/>
    <w:rsid w:val="004624E9"/>
    <w:rsid w:val="00462A13"/>
    <w:rsid w:val="00462F2A"/>
    <w:rsid w:val="00463986"/>
    <w:rsid w:val="00463AC5"/>
    <w:rsid w:val="00463BA8"/>
    <w:rsid w:val="004641AA"/>
    <w:rsid w:val="00464835"/>
    <w:rsid w:val="004654D3"/>
    <w:rsid w:val="00470218"/>
    <w:rsid w:val="00471B9D"/>
    <w:rsid w:val="0047206A"/>
    <w:rsid w:val="00474978"/>
    <w:rsid w:val="0047499A"/>
    <w:rsid w:val="00474C78"/>
    <w:rsid w:val="004758AD"/>
    <w:rsid w:val="00475AAE"/>
    <w:rsid w:val="00480934"/>
    <w:rsid w:val="0048130C"/>
    <w:rsid w:val="00482FA5"/>
    <w:rsid w:val="00484E6E"/>
    <w:rsid w:val="00485819"/>
    <w:rsid w:val="00487D31"/>
    <w:rsid w:val="00490000"/>
    <w:rsid w:val="00491F60"/>
    <w:rsid w:val="00492026"/>
    <w:rsid w:val="004920C5"/>
    <w:rsid w:val="004927D6"/>
    <w:rsid w:val="00492E16"/>
    <w:rsid w:val="004949D1"/>
    <w:rsid w:val="00494AE3"/>
    <w:rsid w:val="00494C04"/>
    <w:rsid w:val="0049557F"/>
    <w:rsid w:val="004965C3"/>
    <w:rsid w:val="00497639"/>
    <w:rsid w:val="004A0574"/>
    <w:rsid w:val="004A0A41"/>
    <w:rsid w:val="004A22CF"/>
    <w:rsid w:val="004A5199"/>
    <w:rsid w:val="004A5804"/>
    <w:rsid w:val="004A794E"/>
    <w:rsid w:val="004B142E"/>
    <w:rsid w:val="004B1C0F"/>
    <w:rsid w:val="004B25CD"/>
    <w:rsid w:val="004B3D26"/>
    <w:rsid w:val="004B44C1"/>
    <w:rsid w:val="004B623F"/>
    <w:rsid w:val="004B6EA7"/>
    <w:rsid w:val="004C0B99"/>
    <w:rsid w:val="004C11DE"/>
    <w:rsid w:val="004C13DB"/>
    <w:rsid w:val="004C2577"/>
    <w:rsid w:val="004D00EF"/>
    <w:rsid w:val="004D14AD"/>
    <w:rsid w:val="004D376C"/>
    <w:rsid w:val="004D3864"/>
    <w:rsid w:val="004D58CD"/>
    <w:rsid w:val="004D5EEF"/>
    <w:rsid w:val="004D75B0"/>
    <w:rsid w:val="004D7DC5"/>
    <w:rsid w:val="004E109A"/>
    <w:rsid w:val="004E3B94"/>
    <w:rsid w:val="004E6410"/>
    <w:rsid w:val="004E7C93"/>
    <w:rsid w:val="004F3C8F"/>
    <w:rsid w:val="00500939"/>
    <w:rsid w:val="00501FC7"/>
    <w:rsid w:val="005025F4"/>
    <w:rsid w:val="00502AAF"/>
    <w:rsid w:val="005067E0"/>
    <w:rsid w:val="00510B62"/>
    <w:rsid w:val="00511F85"/>
    <w:rsid w:val="005146DB"/>
    <w:rsid w:val="00514A9E"/>
    <w:rsid w:val="00516673"/>
    <w:rsid w:val="00517B69"/>
    <w:rsid w:val="00520368"/>
    <w:rsid w:val="00523227"/>
    <w:rsid w:val="00523246"/>
    <w:rsid w:val="005237FD"/>
    <w:rsid w:val="005246B4"/>
    <w:rsid w:val="005252F8"/>
    <w:rsid w:val="00525F8B"/>
    <w:rsid w:val="0052651B"/>
    <w:rsid w:val="00530F1E"/>
    <w:rsid w:val="00532F0D"/>
    <w:rsid w:val="00533C06"/>
    <w:rsid w:val="00533E30"/>
    <w:rsid w:val="0053401E"/>
    <w:rsid w:val="00535AAB"/>
    <w:rsid w:val="00540B8E"/>
    <w:rsid w:val="00542636"/>
    <w:rsid w:val="00543DF0"/>
    <w:rsid w:val="005445E2"/>
    <w:rsid w:val="00544AB5"/>
    <w:rsid w:val="00546D89"/>
    <w:rsid w:val="00547AFC"/>
    <w:rsid w:val="0055022A"/>
    <w:rsid w:val="005503E5"/>
    <w:rsid w:val="005513B0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67328"/>
    <w:rsid w:val="005706D5"/>
    <w:rsid w:val="005728BC"/>
    <w:rsid w:val="00573F1D"/>
    <w:rsid w:val="0057421A"/>
    <w:rsid w:val="005759E4"/>
    <w:rsid w:val="00575AE8"/>
    <w:rsid w:val="00575E1D"/>
    <w:rsid w:val="00576089"/>
    <w:rsid w:val="005819D2"/>
    <w:rsid w:val="00582374"/>
    <w:rsid w:val="00582DF8"/>
    <w:rsid w:val="00583800"/>
    <w:rsid w:val="00584BC6"/>
    <w:rsid w:val="0058559D"/>
    <w:rsid w:val="005856F2"/>
    <w:rsid w:val="00585A3B"/>
    <w:rsid w:val="00586D7A"/>
    <w:rsid w:val="0059070B"/>
    <w:rsid w:val="00590FA0"/>
    <w:rsid w:val="00593EFC"/>
    <w:rsid w:val="00594F73"/>
    <w:rsid w:val="00595336"/>
    <w:rsid w:val="0059537A"/>
    <w:rsid w:val="005957D1"/>
    <w:rsid w:val="00597215"/>
    <w:rsid w:val="005A0FD0"/>
    <w:rsid w:val="005A143D"/>
    <w:rsid w:val="005A1468"/>
    <w:rsid w:val="005A4536"/>
    <w:rsid w:val="005A5AF2"/>
    <w:rsid w:val="005A742F"/>
    <w:rsid w:val="005A7C78"/>
    <w:rsid w:val="005B4F6C"/>
    <w:rsid w:val="005B5AA9"/>
    <w:rsid w:val="005B7055"/>
    <w:rsid w:val="005C4763"/>
    <w:rsid w:val="005C4968"/>
    <w:rsid w:val="005C4DB7"/>
    <w:rsid w:val="005C5DC8"/>
    <w:rsid w:val="005C661E"/>
    <w:rsid w:val="005C7258"/>
    <w:rsid w:val="005D1E9E"/>
    <w:rsid w:val="005D48C8"/>
    <w:rsid w:val="005D58CE"/>
    <w:rsid w:val="005D6DB4"/>
    <w:rsid w:val="005D7445"/>
    <w:rsid w:val="005E2760"/>
    <w:rsid w:val="005E2D13"/>
    <w:rsid w:val="005E350B"/>
    <w:rsid w:val="005E4648"/>
    <w:rsid w:val="005E6068"/>
    <w:rsid w:val="005E64B3"/>
    <w:rsid w:val="005E6A47"/>
    <w:rsid w:val="005F03A4"/>
    <w:rsid w:val="005F0C51"/>
    <w:rsid w:val="005F16DB"/>
    <w:rsid w:val="005F17B2"/>
    <w:rsid w:val="005F2BB5"/>
    <w:rsid w:val="005F3A96"/>
    <w:rsid w:val="005F4DBF"/>
    <w:rsid w:val="005F58C1"/>
    <w:rsid w:val="005F66CC"/>
    <w:rsid w:val="005F7DEC"/>
    <w:rsid w:val="005F7E35"/>
    <w:rsid w:val="006009F5"/>
    <w:rsid w:val="00600AA5"/>
    <w:rsid w:val="0060126D"/>
    <w:rsid w:val="0060146A"/>
    <w:rsid w:val="00601974"/>
    <w:rsid w:val="00601CE8"/>
    <w:rsid w:val="00602DA5"/>
    <w:rsid w:val="006045AF"/>
    <w:rsid w:val="00604D43"/>
    <w:rsid w:val="00606B1E"/>
    <w:rsid w:val="006105E3"/>
    <w:rsid w:val="006115E2"/>
    <w:rsid w:val="00613D08"/>
    <w:rsid w:val="0061491F"/>
    <w:rsid w:val="00615FC7"/>
    <w:rsid w:val="00620DEF"/>
    <w:rsid w:val="0062204C"/>
    <w:rsid w:val="00622EE0"/>
    <w:rsid w:val="00623188"/>
    <w:rsid w:val="00626DD6"/>
    <w:rsid w:val="0062719D"/>
    <w:rsid w:val="00627FDF"/>
    <w:rsid w:val="00630296"/>
    <w:rsid w:val="006331E3"/>
    <w:rsid w:val="00633776"/>
    <w:rsid w:val="00633C62"/>
    <w:rsid w:val="006359FD"/>
    <w:rsid w:val="006361F0"/>
    <w:rsid w:val="006372A4"/>
    <w:rsid w:val="006375ED"/>
    <w:rsid w:val="0064029E"/>
    <w:rsid w:val="00640861"/>
    <w:rsid w:val="00640A36"/>
    <w:rsid w:val="00640BDC"/>
    <w:rsid w:val="0064171C"/>
    <w:rsid w:val="00646004"/>
    <w:rsid w:val="00646AD1"/>
    <w:rsid w:val="006473BA"/>
    <w:rsid w:val="00650E4E"/>
    <w:rsid w:val="00652C29"/>
    <w:rsid w:val="00654D9D"/>
    <w:rsid w:val="00660C02"/>
    <w:rsid w:val="0066104E"/>
    <w:rsid w:val="0066130F"/>
    <w:rsid w:val="006641F4"/>
    <w:rsid w:val="006645D9"/>
    <w:rsid w:val="00665EBC"/>
    <w:rsid w:val="00667637"/>
    <w:rsid w:val="00667BE8"/>
    <w:rsid w:val="0067150D"/>
    <w:rsid w:val="00673A29"/>
    <w:rsid w:val="00673AD9"/>
    <w:rsid w:val="006766F4"/>
    <w:rsid w:val="006777B6"/>
    <w:rsid w:val="00681341"/>
    <w:rsid w:val="00681535"/>
    <w:rsid w:val="00681787"/>
    <w:rsid w:val="00681EC7"/>
    <w:rsid w:val="0068250F"/>
    <w:rsid w:val="00685904"/>
    <w:rsid w:val="00685FFE"/>
    <w:rsid w:val="00686729"/>
    <w:rsid w:val="00686CAC"/>
    <w:rsid w:val="00686D5A"/>
    <w:rsid w:val="00687871"/>
    <w:rsid w:val="00693247"/>
    <w:rsid w:val="0069336E"/>
    <w:rsid w:val="00694174"/>
    <w:rsid w:val="00697D60"/>
    <w:rsid w:val="006A27BC"/>
    <w:rsid w:val="006A27D6"/>
    <w:rsid w:val="006A3A42"/>
    <w:rsid w:val="006A41B4"/>
    <w:rsid w:val="006A5FD7"/>
    <w:rsid w:val="006A62B0"/>
    <w:rsid w:val="006B143E"/>
    <w:rsid w:val="006B30E3"/>
    <w:rsid w:val="006B5E72"/>
    <w:rsid w:val="006B6205"/>
    <w:rsid w:val="006C058F"/>
    <w:rsid w:val="006C3252"/>
    <w:rsid w:val="006C7A04"/>
    <w:rsid w:val="006D14C7"/>
    <w:rsid w:val="006D158F"/>
    <w:rsid w:val="006D1B83"/>
    <w:rsid w:val="006D1BE7"/>
    <w:rsid w:val="006D3590"/>
    <w:rsid w:val="006D5C98"/>
    <w:rsid w:val="006D5DB6"/>
    <w:rsid w:val="006D6FCC"/>
    <w:rsid w:val="006E0A9F"/>
    <w:rsid w:val="006E12D5"/>
    <w:rsid w:val="006E1EDC"/>
    <w:rsid w:val="006E26E8"/>
    <w:rsid w:val="006E4493"/>
    <w:rsid w:val="006E76B0"/>
    <w:rsid w:val="006F08D4"/>
    <w:rsid w:val="006F3318"/>
    <w:rsid w:val="006F39CF"/>
    <w:rsid w:val="006F4894"/>
    <w:rsid w:val="006F58F5"/>
    <w:rsid w:val="006F676D"/>
    <w:rsid w:val="00700672"/>
    <w:rsid w:val="00701319"/>
    <w:rsid w:val="00701A95"/>
    <w:rsid w:val="00702F7C"/>
    <w:rsid w:val="00706127"/>
    <w:rsid w:val="007077CD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32257"/>
    <w:rsid w:val="0073429E"/>
    <w:rsid w:val="00740240"/>
    <w:rsid w:val="0074037C"/>
    <w:rsid w:val="00742895"/>
    <w:rsid w:val="00742B72"/>
    <w:rsid w:val="00742BC9"/>
    <w:rsid w:val="00743251"/>
    <w:rsid w:val="007436B5"/>
    <w:rsid w:val="007437CA"/>
    <w:rsid w:val="00743D5F"/>
    <w:rsid w:val="00744DC0"/>
    <w:rsid w:val="00745634"/>
    <w:rsid w:val="007469FC"/>
    <w:rsid w:val="00746A92"/>
    <w:rsid w:val="00747EAE"/>
    <w:rsid w:val="00750DEB"/>
    <w:rsid w:val="007515C1"/>
    <w:rsid w:val="007528B2"/>
    <w:rsid w:val="00753BFA"/>
    <w:rsid w:val="00754C7E"/>
    <w:rsid w:val="007557BC"/>
    <w:rsid w:val="007608F0"/>
    <w:rsid w:val="00762976"/>
    <w:rsid w:val="00766752"/>
    <w:rsid w:val="00766834"/>
    <w:rsid w:val="00766EC7"/>
    <w:rsid w:val="0077082D"/>
    <w:rsid w:val="0077181C"/>
    <w:rsid w:val="00771AF0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31D7"/>
    <w:rsid w:val="007949B4"/>
    <w:rsid w:val="0079708B"/>
    <w:rsid w:val="0079779E"/>
    <w:rsid w:val="007A6BA1"/>
    <w:rsid w:val="007A6DC9"/>
    <w:rsid w:val="007A71B5"/>
    <w:rsid w:val="007A797E"/>
    <w:rsid w:val="007B1216"/>
    <w:rsid w:val="007B255F"/>
    <w:rsid w:val="007B55C5"/>
    <w:rsid w:val="007C0579"/>
    <w:rsid w:val="007C0E7E"/>
    <w:rsid w:val="007C10CC"/>
    <w:rsid w:val="007C250E"/>
    <w:rsid w:val="007C2CD7"/>
    <w:rsid w:val="007D009C"/>
    <w:rsid w:val="007D2162"/>
    <w:rsid w:val="007D2855"/>
    <w:rsid w:val="007D3272"/>
    <w:rsid w:val="007D5A53"/>
    <w:rsid w:val="007D5D8E"/>
    <w:rsid w:val="007D62D9"/>
    <w:rsid w:val="007D6A5B"/>
    <w:rsid w:val="007D73C9"/>
    <w:rsid w:val="007D79DF"/>
    <w:rsid w:val="007E1FB4"/>
    <w:rsid w:val="007E28C1"/>
    <w:rsid w:val="007E786E"/>
    <w:rsid w:val="007F0840"/>
    <w:rsid w:val="007F2086"/>
    <w:rsid w:val="007F67A7"/>
    <w:rsid w:val="007F6F0A"/>
    <w:rsid w:val="00800773"/>
    <w:rsid w:val="00801004"/>
    <w:rsid w:val="0080111C"/>
    <w:rsid w:val="00801EFD"/>
    <w:rsid w:val="008058BC"/>
    <w:rsid w:val="00806D7C"/>
    <w:rsid w:val="0080743C"/>
    <w:rsid w:val="00807854"/>
    <w:rsid w:val="00811012"/>
    <w:rsid w:val="00811A90"/>
    <w:rsid w:val="00813846"/>
    <w:rsid w:val="00814325"/>
    <w:rsid w:val="00815C4F"/>
    <w:rsid w:val="008161C2"/>
    <w:rsid w:val="00816767"/>
    <w:rsid w:val="00816942"/>
    <w:rsid w:val="0081738B"/>
    <w:rsid w:val="0082026A"/>
    <w:rsid w:val="008219BA"/>
    <w:rsid w:val="008237A8"/>
    <w:rsid w:val="00824136"/>
    <w:rsid w:val="00826075"/>
    <w:rsid w:val="008267CA"/>
    <w:rsid w:val="00826A19"/>
    <w:rsid w:val="008312D4"/>
    <w:rsid w:val="008317C8"/>
    <w:rsid w:val="00831915"/>
    <w:rsid w:val="0083305B"/>
    <w:rsid w:val="00834578"/>
    <w:rsid w:val="0083648B"/>
    <w:rsid w:val="00836500"/>
    <w:rsid w:val="00841EAB"/>
    <w:rsid w:val="00844977"/>
    <w:rsid w:val="00844B97"/>
    <w:rsid w:val="00845BB4"/>
    <w:rsid w:val="008464F9"/>
    <w:rsid w:val="00847302"/>
    <w:rsid w:val="00847BF3"/>
    <w:rsid w:val="00852A15"/>
    <w:rsid w:val="00853D0B"/>
    <w:rsid w:val="00854B16"/>
    <w:rsid w:val="00854BCA"/>
    <w:rsid w:val="00855A43"/>
    <w:rsid w:val="0085605F"/>
    <w:rsid w:val="008561BF"/>
    <w:rsid w:val="00861DB4"/>
    <w:rsid w:val="00861E25"/>
    <w:rsid w:val="008633B6"/>
    <w:rsid w:val="0086402F"/>
    <w:rsid w:val="00866481"/>
    <w:rsid w:val="0087076A"/>
    <w:rsid w:val="00870853"/>
    <w:rsid w:val="008726DE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5D7C"/>
    <w:rsid w:val="0088762D"/>
    <w:rsid w:val="00890235"/>
    <w:rsid w:val="00890A70"/>
    <w:rsid w:val="00890DDC"/>
    <w:rsid w:val="00890F9C"/>
    <w:rsid w:val="008928B6"/>
    <w:rsid w:val="00894CA0"/>
    <w:rsid w:val="00895461"/>
    <w:rsid w:val="008957B1"/>
    <w:rsid w:val="00896190"/>
    <w:rsid w:val="00897C5E"/>
    <w:rsid w:val="008A1058"/>
    <w:rsid w:val="008A1517"/>
    <w:rsid w:val="008A2307"/>
    <w:rsid w:val="008A2B8F"/>
    <w:rsid w:val="008A2BB7"/>
    <w:rsid w:val="008A4000"/>
    <w:rsid w:val="008A4A65"/>
    <w:rsid w:val="008A6621"/>
    <w:rsid w:val="008A70A5"/>
    <w:rsid w:val="008B0E08"/>
    <w:rsid w:val="008B201B"/>
    <w:rsid w:val="008B222E"/>
    <w:rsid w:val="008B2D64"/>
    <w:rsid w:val="008B368E"/>
    <w:rsid w:val="008B38A4"/>
    <w:rsid w:val="008B38EE"/>
    <w:rsid w:val="008B3E8F"/>
    <w:rsid w:val="008B4F2F"/>
    <w:rsid w:val="008B55B4"/>
    <w:rsid w:val="008B6A00"/>
    <w:rsid w:val="008B750A"/>
    <w:rsid w:val="008B7AA1"/>
    <w:rsid w:val="008C0269"/>
    <w:rsid w:val="008C076F"/>
    <w:rsid w:val="008C257C"/>
    <w:rsid w:val="008D0FDE"/>
    <w:rsid w:val="008D1051"/>
    <w:rsid w:val="008D22BE"/>
    <w:rsid w:val="008D7542"/>
    <w:rsid w:val="008D7F7C"/>
    <w:rsid w:val="008E0835"/>
    <w:rsid w:val="008E16ED"/>
    <w:rsid w:val="008E280E"/>
    <w:rsid w:val="008E2BA7"/>
    <w:rsid w:val="008E36D8"/>
    <w:rsid w:val="008E5642"/>
    <w:rsid w:val="008E5CC2"/>
    <w:rsid w:val="008F2E20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0805"/>
    <w:rsid w:val="00911A42"/>
    <w:rsid w:val="00912D60"/>
    <w:rsid w:val="009140A2"/>
    <w:rsid w:val="009141D0"/>
    <w:rsid w:val="009149FD"/>
    <w:rsid w:val="00920480"/>
    <w:rsid w:val="00920D01"/>
    <w:rsid w:val="00923B20"/>
    <w:rsid w:val="009263DF"/>
    <w:rsid w:val="00926E84"/>
    <w:rsid w:val="00927338"/>
    <w:rsid w:val="0093018E"/>
    <w:rsid w:val="0093167C"/>
    <w:rsid w:val="00932A3A"/>
    <w:rsid w:val="00934143"/>
    <w:rsid w:val="00934679"/>
    <w:rsid w:val="00935444"/>
    <w:rsid w:val="009378F0"/>
    <w:rsid w:val="00942696"/>
    <w:rsid w:val="00942EB6"/>
    <w:rsid w:val="0094307C"/>
    <w:rsid w:val="00944802"/>
    <w:rsid w:val="0094577A"/>
    <w:rsid w:val="009470DD"/>
    <w:rsid w:val="009518D9"/>
    <w:rsid w:val="0095236F"/>
    <w:rsid w:val="00952404"/>
    <w:rsid w:val="00953350"/>
    <w:rsid w:val="00955BDA"/>
    <w:rsid w:val="0096328F"/>
    <w:rsid w:val="009646AB"/>
    <w:rsid w:val="00965F52"/>
    <w:rsid w:val="0096737A"/>
    <w:rsid w:val="009674C6"/>
    <w:rsid w:val="00967EE5"/>
    <w:rsid w:val="0097392A"/>
    <w:rsid w:val="009749C0"/>
    <w:rsid w:val="00977C0A"/>
    <w:rsid w:val="00982FF8"/>
    <w:rsid w:val="00984E8B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96D25"/>
    <w:rsid w:val="009A043C"/>
    <w:rsid w:val="009A12ED"/>
    <w:rsid w:val="009A201F"/>
    <w:rsid w:val="009A62FC"/>
    <w:rsid w:val="009A6989"/>
    <w:rsid w:val="009A72EB"/>
    <w:rsid w:val="009B105E"/>
    <w:rsid w:val="009B2B4E"/>
    <w:rsid w:val="009B396E"/>
    <w:rsid w:val="009B39A2"/>
    <w:rsid w:val="009B3B97"/>
    <w:rsid w:val="009B49F3"/>
    <w:rsid w:val="009B4E5D"/>
    <w:rsid w:val="009B567A"/>
    <w:rsid w:val="009C25BE"/>
    <w:rsid w:val="009C29C5"/>
    <w:rsid w:val="009C5C75"/>
    <w:rsid w:val="009D1C23"/>
    <w:rsid w:val="009D2A29"/>
    <w:rsid w:val="009D59DE"/>
    <w:rsid w:val="009E1362"/>
    <w:rsid w:val="009E1848"/>
    <w:rsid w:val="009E1BC1"/>
    <w:rsid w:val="009E1F6B"/>
    <w:rsid w:val="009E3E77"/>
    <w:rsid w:val="009E4DF2"/>
    <w:rsid w:val="009E6D60"/>
    <w:rsid w:val="009F1918"/>
    <w:rsid w:val="009F2D0A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0F2F"/>
    <w:rsid w:val="00A211A3"/>
    <w:rsid w:val="00A21641"/>
    <w:rsid w:val="00A2357E"/>
    <w:rsid w:val="00A24629"/>
    <w:rsid w:val="00A25A27"/>
    <w:rsid w:val="00A27485"/>
    <w:rsid w:val="00A30038"/>
    <w:rsid w:val="00A309E8"/>
    <w:rsid w:val="00A3514D"/>
    <w:rsid w:val="00A35318"/>
    <w:rsid w:val="00A40F98"/>
    <w:rsid w:val="00A41EF2"/>
    <w:rsid w:val="00A4241A"/>
    <w:rsid w:val="00A42619"/>
    <w:rsid w:val="00A4267D"/>
    <w:rsid w:val="00A427B2"/>
    <w:rsid w:val="00A43DEB"/>
    <w:rsid w:val="00A44DDA"/>
    <w:rsid w:val="00A47032"/>
    <w:rsid w:val="00A476D7"/>
    <w:rsid w:val="00A47D62"/>
    <w:rsid w:val="00A53CDD"/>
    <w:rsid w:val="00A53EE6"/>
    <w:rsid w:val="00A54810"/>
    <w:rsid w:val="00A5538A"/>
    <w:rsid w:val="00A564AE"/>
    <w:rsid w:val="00A5710E"/>
    <w:rsid w:val="00A57A4A"/>
    <w:rsid w:val="00A57C0E"/>
    <w:rsid w:val="00A60380"/>
    <w:rsid w:val="00A614EB"/>
    <w:rsid w:val="00A62886"/>
    <w:rsid w:val="00A63E79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4ED2"/>
    <w:rsid w:val="00A96790"/>
    <w:rsid w:val="00A97543"/>
    <w:rsid w:val="00AA0DFE"/>
    <w:rsid w:val="00AA2502"/>
    <w:rsid w:val="00AA262E"/>
    <w:rsid w:val="00AA2AC5"/>
    <w:rsid w:val="00AA3174"/>
    <w:rsid w:val="00AA3A41"/>
    <w:rsid w:val="00AA48FE"/>
    <w:rsid w:val="00AA5AE9"/>
    <w:rsid w:val="00AA6D45"/>
    <w:rsid w:val="00AA7585"/>
    <w:rsid w:val="00AA7DED"/>
    <w:rsid w:val="00AB031D"/>
    <w:rsid w:val="00AB08A6"/>
    <w:rsid w:val="00AB18B3"/>
    <w:rsid w:val="00AB1A1E"/>
    <w:rsid w:val="00AB236C"/>
    <w:rsid w:val="00AB79DB"/>
    <w:rsid w:val="00AC06B6"/>
    <w:rsid w:val="00AC1A7F"/>
    <w:rsid w:val="00AC6AFC"/>
    <w:rsid w:val="00AC7830"/>
    <w:rsid w:val="00AD0466"/>
    <w:rsid w:val="00AD1557"/>
    <w:rsid w:val="00AD35F3"/>
    <w:rsid w:val="00AD44E9"/>
    <w:rsid w:val="00AD4CAC"/>
    <w:rsid w:val="00AD528F"/>
    <w:rsid w:val="00AD6760"/>
    <w:rsid w:val="00AD6EB3"/>
    <w:rsid w:val="00AD741D"/>
    <w:rsid w:val="00AD751D"/>
    <w:rsid w:val="00AD791C"/>
    <w:rsid w:val="00AE1C60"/>
    <w:rsid w:val="00AE4F42"/>
    <w:rsid w:val="00AE728D"/>
    <w:rsid w:val="00AE7589"/>
    <w:rsid w:val="00AE798E"/>
    <w:rsid w:val="00AF2833"/>
    <w:rsid w:val="00AF3716"/>
    <w:rsid w:val="00AF3C46"/>
    <w:rsid w:val="00AF43E1"/>
    <w:rsid w:val="00AF4D71"/>
    <w:rsid w:val="00AF5921"/>
    <w:rsid w:val="00B0092E"/>
    <w:rsid w:val="00B018B2"/>
    <w:rsid w:val="00B018E8"/>
    <w:rsid w:val="00B036BD"/>
    <w:rsid w:val="00B03BF6"/>
    <w:rsid w:val="00B03CDF"/>
    <w:rsid w:val="00B040B7"/>
    <w:rsid w:val="00B04A55"/>
    <w:rsid w:val="00B04D46"/>
    <w:rsid w:val="00B104C5"/>
    <w:rsid w:val="00B10F47"/>
    <w:rsid w:val="00B1385B"/>
    <w:rsid w:val="00B13B1B"/>
    <w:rsid w:val="00B15DBF"/>
    <w:rsid w:val="00B165C9"/>
    <w:rsid w:val="00B179FD"/>
    <w:rsid w:val="00B17D70"/>
    <w:rsid w:val="00B22AD7"/>
    <w:rsid w:val="00B22D31"/>
    <w:rsid w:val="00B22E46"/>
    <w:rsid w:val="00B27853"/>
    <w:rsid w:val="00B30291"/>
    <w:rsid w:val="00B306F7"/>
    <w:rsid w:val="00B30BB8"/>
    <w:rsid w:val="00B30FE2"/>
    <w:rsid w:val="00B3272E"/>
    <w:rsid w:val="00B32C71"/>
    <w:rsid w:val="00B330C4"/>
    <w:rsid w:val="00B33356"/>
    <w:rsid w:val="00B34863"/>
    <w:rsid w:val="00B37580"/>
    <w:rsid w:val="00B4137A"/>
    <w:rsid w:val="00B43DA3"/>
    <w:rsid w:val="00B47C4C"/>
    <w:rsid w:val="00B50B77"/>
    <w:rsid w:val="00B51290"/>
    <w:rsid w:val="00B51769"/>
    <w:rsid w:val="00B52215"/>
    <w:rsid w:val="00B530CA"/>
    <w:rsid w:val="00B53AC4"/>
    <w:rsid w:val="00B54527"/>
    <w:rsid w:val="00B57ADA"/>
    <w:rsid w:val="00B61EE9"/>
    <w:rsid w:val="00B6496C"/>
    <w:rsid w:val="00B65962"/>
    <w:rsid w:val="00B66B6C"/>
    <w:rsid w:val="00B7033E"/>
    <w:rsid w:val="00B7071A"/>
    <w:rsid w:val="00B71858"/>
    <w:rsid w:val="00B71A39"/>
    <w:rsid w:val="00B721DC"/>
    <w:rsid w:val="00B72ED3"/>
    <w:rsid w:val="00B74715"/>
    <w:rsid w:val="00B7669D"/>
    <w:rsid w:val="00B766D9"/>
    <w:rsid w:val="00B80A28"/>
    <w:rsid w:val="00B81C42"/>
    <w:rsid w:val="00B82D73"/>
    <w:rsid w:val="00B84A2C"/>
    <w:rsid w:val="00B871D6"/>
    <w:rsid w:val="00B87A02"/>
    <w:rsid w:val="00B96204"/>
    <w:rsid w:val="00BA0DCC"/>
    <w:rsid w:val="00BA12A2"/>
    <w:rsid w:val="00BA16EF"/>
    <w:rsid w:val="00BA18D0"/>
    <w:rsid w:val="00BA242E"/>
    <w:rsid w:val="00BA2ABF"/>
    <w:rsid w:val="00BA3317"/>
    <w:rsid w:val="00BA4F1C"/>
    <w:rsid w:val="00BA5A9D"/>
    <w:rsid w:val="00BA6363"/>
    <w:rsid w:val="00BA6733"/>
    <w:rsid w:val="00BB2D9C"/>
    <w:rsid w:val="00BB3512"/>
    <w:rsid w:val="00BB5D1E"/>
    <w:rsid w:val="00BB62CC"/>
    <w:rsid w:val="00BB7ED6"/>
    <w:rsid w:val="00BC137A"/>
    <w:rsid w:val="00BC4347"/>
    <w:rsid w:val="00BC45E0"/>
    <w:rsid w:val="00BC54B5"/>
    <w:rsid w:val="00BC5D9D"/>
    <w:rsid w:val="00BC60E1"/>
    <w:rsid w:val="00BC6803"/>
    <w:rsid w:val="00BC7BCB"/>
    <w:rsid w:val="00BD109B"/>
    <w:rsid w:val="00BD1101"/>
    <w:rsid w:val="00BD2944"/>
    <w:rsid w:val="00BD2B5E"/>
    <w:rsid w:val="00BD3AFF"/>
    <w:rsid w:val="00BD4E7A"/>
    <w:rsid w:val="00BD531B"/>
    <w:rsid w:val="00BE00E5"/>
    <w:rsid w:val="00BE2E5A"/>
    <w:rsid w:val="00BE3A10"/>
    <w:rsid w:val="00BE4A21"/>
    <w:rsid w:val="00BE5859"/>
    <w:rsid w:val="00BE717E"/>
    <w:rsid w:val="00BE7E27"/>
    <w:rsid w:val="00BF183C"/>
    <w:rsid w:val="00BF4C15"/>
    <w:rsid w:val="00C0277D"/>
    <w:rsid w:val="00C0782F"/>
    <w:rsid w:val="00C11F50"/>
    <w:rsid w:val="00C12603"/>
    <w:rsid w:val="00C12C7C"/>
    <w:rsid w:val="00C131FD"/>
    <w:rsid w:val="00C15322"/>
    <w:rsid w:val="00C16DA8"/>
    <w:rsid w:val="00C17352"/>
    <w:rsid w:val="00C21959"/>
    <w:rsid w:val="00C24966"/>
    <w:rsid w:val="00C30A7D"/>
    <w:rsid w:val="00C31169"/>
    <w:rsid w:val="00C3169F"/>
    <w:rsid w:val="00C318F6"/>
    <w:rsid w:val="00C37522"/>
    <w:rsid w:val="00C42EFD"/>
    <w:rsid w:val="00C4357B"/>
    <w:rsid w:val="00C43D8B"/>
    <w:rsid w:val="00C44042"/>
    <w:rsid w:val="00C46AF0"/>
    <w:rsid w:val="00C525F2"/>
    <w:rsid w:val="00C52956"/>
    <w:rsid w:val="00C53AE1"/>
    <w:rsid w:val="00C53CAD"/>
    <w:rsid w:val="00C54893"/>
    <w:rsid w:val="00C560A1"/>
    <w:rsid w:val="00C56E9E"/>
    <w:rsid w:val="00C56EB6"/>
    <w:rsid w:val="00C571E2"/>
    <w:rsid w:val="00C63FC8"/>
    <w:rsid w:val="00C645F4"/>
    <w:rsid w:val="00C64F57"/>
    <w:rsid w:val="00C65D21"/>
    <w:rsid w:val="00C66E11"/>
    <w:rsid w:val="00C6789D"/>
    <w:rsid w:val="00C71A97"/>
    <w:rsid w:val="00C72FFE"/>
    <w:rsid w:val="00C73FFD"/>
    <w:rsid w:val="00C74512"/>
    <w:rsid w:val="00C75071"/>
    <w:rsid w:val="00C84F07"/>
    <w:rsid w:val="00C851A6"/>
    <w:rsid w:val="00C855D4"/>
    <w:rsid w:val="00C87639"/>
    <w:rsid w:val="00C90685"/>
    <w:rsid w:val="00C9099A"/>
    <w:rsid w:val="00C9240A"/>
    <w:rsid w:val="00C93D5B"/>
    <w:rsid w:val="00C9442C"/>
    <w:rsid w:val="00C9532C"/>
    <w:rsid w:val="00C95BCF"/>
    <w:rsid w:val="00C95D16"/>
    <w:rsid w:val="00C95DCF"/>
    <w:rsid w:val="00C9733F"/>
    <w:rsid w:val="00CA184E"/>
    <w:rsid w:val="00CA23C4"/>
    <w:rsid w:val="00CA575F"/>
    <w:rsid w:val="00CA5AEC"/>
    <w:rsid w:val="00CA6114"/>
    <w:rsid w:val="00CA704A"/>
    <w:rsid w:val="00CA7D59"/>
    <w:rsid w:val="00CB0797"/>
    <w:rsid w:val="00CB21FF"/>
    <w:rsid w:val="00CB5CAE"/>
    <w:rsid w:val="00CB644C"/>
    <w:rsid w:val="00CB78ED"/>
    <w:rsid w:val="00CC0004"/>
    <w:rsid w:val="00CC4E55"/>
    <w:rsid w:val="00CC4E94"/>
    <w:rsid w:val="00CC550E"/>
    <w:rsid w:val="00CC5AC6"/>
    <w:rsid w:val="00CD0DCE"/>
    <w:rsid w:val="00CD1628"/>
    <w:rsid w:val="00CD1D27"/>
    <w:rsid w:val="00CD27B7"/>
    <w:rsid w:val="00CD3090"/>
    <w:rsid w:val="00CD37A1"/>
    <w:rsid w:val="00CD3807"/>
    <w:rsid w:val="00CD3AE7"/>
    <w:rsid w:val="00CD3C10"/>
    <w:rsid w:val="00CD5194"/>
    <w:rsid w:val="00CD5981"/>
    <w:rsid w:val="00CD5D25"/>
    <w:rsid w:val="00CD79FA"/>
    <w:rsid w:val="00CE10E6"/>
    <w:rsid w:val="00CE59A8"/>
    <w:rsid w:val="00CE657B"/>
    <w:rsid w:val="00CF0873"/>
    <w:rsid w:val="00CF237E"/>
    <w:rsid w:val="00CF3FB0"/>
    <w:rsid w:val="00CF515D"/>
    <w:rsid w:val="00CF53F5"/>
    <w:rsid w:val="00CF6B3F"/>
    <w:rsid w:val="00D002B4"/>
    <w:rsid w:val="00D01404"/>
    <w:rsid w:val="00D02C52"/>
    <w:rsid w:val="00D03777"/>
    <w:rsid w:val="00D03845"/>
    <w:rsid w:val="00D03DCB"/>
    <w:rsid w:val="00D05257"/>
    <w:rsid w:val="00D054DF"/>
    <w:rsid w:val="00D057A5"/>
    <w:rsid w:val="00D05D1F"/>
    <w:rsid w:val="00D144D0"/>
    <w:rsid w:val="00D14FC0"/>
    <w:rsid w:val="00D163A3"/>
    <w:rsid w:val="00D1656D"/>
    <w:rsid w:val="00D167CC"/>
    <w:rsid w:val="00D16943"/>
    <w:rsid w:val="00D20524"/>
    <w:rsid w:val="00D211AE"/>
    <w:rsid w:val="00D21662"/>
    <w:rsid w:val="00D22EE1"/>
    <w:rsid w:val="00D23DE4"/>
    <w:rsid w:val="00D23F50"/>
    <w:rsid w:val="00D24867"/>
    <w:rsid w:val="00D255CD"/>
    <w:rsid w:val="00D26225"/>
    <w:rsid w:val="00D318E3"/>
    <w:rsid w:val="00D323A7"/>
    <w:rsid w:val="00D346BF"/>
    <w:rsid w:val="00D34A4B"/>
    <w:rsid w:val="00D36071"/>
    <w:rsid w:val="00D416EB"/>
    <w:rsid w:val="00D41B20"/>
    <w:rsid w:val="00D44615"/>
    <w:rsid w:val="00D45321"/>
    <w:rsid w:val="00D46F57"/>
    <w:rsid w:val="00D50324"/>
    <w:rsid w:val="00D5202B"/>
    <w:rsid w:val="00D55A28"/>
    <w:rsid w:val="00D5605F"/>
    <w:rsid w:val="00D57BC9"/>
    <w:rsid w:val="00D61FBD"/>
    <w:rsid w:val="00D62519"/>
    <w:rsid w:val="00D625AA"/>
    <w:rsid w:val="00D63CBD"/>
    <w:rsid w:val="00D6500C"/>
    <w:rsid w:val="00D66392"/>
    <w:rsid w:val="00D66959"/>
    <w:rsid w:val="00D70661"/>
    <w:rsid w:val="00D70A39"/>
    <w:rsid w:val="00D71A7E"/>
    <w:rsid w:val="00D7643D"/>
    <w:rsid w:val="00D76DE0"/>
    <w:rsid w:val="00D80DF0"/>
    <w:rsid w:val="00D83ED5"/>
    <w:rsid w:val="00D86043"/>
    <w:rsid w:val="00D870D4"/>
    <w:rsid w:val="00D9046A"/>
    <w:rsid w:val="00D9398E"/>
    <w:rsid w:val="00D9464E"/>
    <w:rsid w:val="00D954E0"/>
    <w:rsid w:val="00D97059"/>
    <w:rsid w:val="00D97A1D"/>
    <w:rsid w:val="00DA0181"/>
    <w:rsid w:val="00DA2411"/>
    <w:rsid w:val="00DA2C81"/>
    <w:rsid w:val="00DA65C4"/>
    <w:rsid w:val="00DA7899"/>
    <w:rsid w:val="00DB0923"/>
    <w:rsid w:val="00DB29CA"/>
    <w:rsid w:val="00DB30C8"/>
    <w:rsid w:val="00DB558E"/>
    <w:rsid w:val="00DB5F2B"/>
    <w:rsid w:val="00DB721B"/>
    <w:rsid w:val="00DB74AF"/>
    <w:rsid w:val="00DC1AB8"/>
    <w:rsid w:val="00DC5C19"/>
    <w:rsid w:val="00DC7068"/>
    <w:rsid w:val="00DD0411"/>
    <w:rsid w:val="00DD265A"/>
    <w:rsid w:val="00DD314C"/>
    <w:rsid w:val="00DD6B9B"/>
    <w:rsid w:val="00DD6CE2"/>
    <w:rsid w:val="00DD6D0C"/>
    <w:rsid w:val="00DE07A1"/>
    <w:rsid w:val="00DE21A2"/>
    <w:rsid w:val="00DE2776"/>
    <w:rsid w:val="00DE3B11"/>
    <w:rsid w:val="00DE4B94"/>
    <w:rsid w:val="00DE6E4E"/>
    <w:rsid w:val="00DE7183"/>
    <w:rsid w:val="00DF1DAC"/>
    <w:rsid w:val="00DF2165"/>
    <w:rsid w:val="00DF5A24"/>
    <w:rsid w:val="00DF60E6"/>
    <w:rsid w:val="00DF6105"/>
    <w:rsid w:val="00DF659E"/>
    <w:rsid w:val="00DF6F7F"/>
    <w:rsid w:val="00E01524"/>
    <w:rsid w:val="00E06816"/>
    <w:rsid w:val="00E07C16"/>
    <w:rsid w:val="00E1021D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5E9F"/>
    <w:rsid w:val="00E2658F"/>
    <w:rsid w:val="00E27565"/>
    <w:rsid w:val="00E30DE6"/>
    <w:rsid w:val="00E31944"/>
    <w:rsid w:val="00E32395"/>
    <w:rsid w:val="00E32E0D"/>
    <w:rsid w:val="00E332E3"/>
    <w:rsid w:val="00E35435"/>
    <w:rsid w:val="00E37194"/>
    <w:rsid w:val="00E3788B"/>
    <w:rsid w:val="00E40C6A"/>
    <w:rsid w:val="00E410B7"/>
    <w:rsid w:val="00E43977"/>
    <w:rsid w:val="00E4415D"/>
    <w:rsid w:val="00E44AB1"/>
    <w:rsid w:val="00E44AB8"/>
    <w:rsid w:val="00E47BD8"/>
    <w:rsid w:val="00E50D3F"/>
    <w:rsid w:val="00E520BE"/>
    <w:rsid w:val="00E5484A"/>
    <w:rsid w:val="00E54E17"/>
    <w:rsid w:val="00E56542"/>
    <w:rsid w:val="00E56A7A"/>
    <w:rsid w:val="00E60419"/>
    <w:rsid w:val="00E60E01"/>
    <w:rsid w:val="00E617D3"/>
    <w:rsid w:val="00E61E36"/>
    <w:rsid w:val="00E633C1"/>
    <w:rsid w:val="00E65C68"/>
    <w:rsid w:val="00E667B0"/>
    <w:rsid w:val="00E67390"/>
    <w:rsid w:val="00E71365"/>
    <w:rsid w:val="00E74904"/>
    <w:rsid w:val="00E770A4"/>
    <w:rsid w:val="00E8097A"/>
    <w:rsid w:val="00E81192"/>
    <w:rsid w:val="00E83B51"/>
    <w:rsid w:val="00E8626C"/>
    <w:rsid w:val="00E8663B"/>
    <w:rsid w:val="00E86BDE"/>
    <w:rsid w:val="00E8762F"/>
    <w:rsid w:val="00E90AB8"/>
    <w:rsid w:val="00E919D9"/>
    <w:rsid w:val="00E921C1"/>
    <w:rsid w:val="00E93C8B"/>
    <w:rsid w:val="00E93D8F"/>
    <w:rsid w:val="00E94D1A"/>
    <w:rsid w:val="00E9531E"/>
    <w:rsid w:val="00E95A8E"/>
    <w:rsid w:val="00E95E41"/>
    <w:rsid w:val="00E95E4C"/>
    <w:rsid w:val="00E977CE"/>
    <w:rsid w:val="00E97E05"/>
    <w:rsid w:val="00EA1370"/>
    <w:rsid w:val="00EA198C"/>
    <w:rsid w:val="00EA34E2"/>
    <w:rsid w:val="00EA52D1"/>
    <w:rsid w:val="00EA703E"/>
    <w:rsid w:val="00EA791F"/>
    <w:rsid w:val="00EB671F"/>
    <w:rsid w:val="00EB6D0B"/>
    <w:rsid w:val="00EB70E7"/>
    <w:rsid w:val="00EB76D6"/>
    <w:rsid w:val="00EC02E8"/>
    <w:rsid w:val="00EC1139"/>
    <w:rsid w:val="00EC3842"/>
    <w:rsid w:val="00EC4299"/>
    <w:rsid w:val="00EC4D4D"/>
    <w:rsid w:val="00EC5D5D"/>
    <w:rsid w:val="00EC7908"/>
    <w:rsid w:val="00EC7C2B"/>
    <w:rsid w:val="00ED1F02"/>
    <w:rsid w:val="00ED213D"/>
    <w:rsid w:val="00EE15B5"/>
    <w:rsid w:val="00EE2087"/>
    <w:rsid w:val="00EE20A1"/>
    <w:rsid w:val="00EE74AF"/>
    <w:rsid w:val="00EF1F0E"/>
    <w:rsid w:val="00EF29F6"/>
    <w:rsid w:val="00EF4FBF"/>
    <w:rsid w:val="00EF518E"/>
    <w:rsid w:val="00EF5DF0"/>
    <w:rsid w:val="00EF69AE"/>
    <w:rsid w:val="00EF6E2C"/>
    <w:rsid w:val="00EF7106"/>
    <w:rsid w:val="00F001A6"/>
    <w:rsid w:val="00F00253"/>
    <w:rsid w:val="00F0070A"/>
    <w:rsid w:val="00F01660"/>
    <w:rsid w:val="00F01C16"/>
    <w:rsid w:val="00F076FF"/>
    <w:rsid w:val="00F0782D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5410"/>
    <w:rsid w:val="00F2601A"/>
    <w:rsid w:val="00F26701"/>
    <w:rsid w:val="00F310D7"/>
    <w:rsid w:val="00F368B9"/>
    <w:rsid w:val="00F3739F"/>
    <w:rsid w:val="00F374C1"/>
    <w:rsid w:val="00F37B34"/>
    <w:rsid w:val="00F41C34"/>
    <w:rsid w:val="00F4212F"/>
    <w:rsid w:val="00F447DB"/>
    <w:rsid w:val="00F447FA"/>
    <w:rsid w:val="00F45FE6"/>
    <w:rsid w:val="00F469B9"/>
    <w:rsid w:val="00F46AC0"/>
    <w:rsid w:val="00F46C32"/>
    <w:rsid w:val="00F46CAF"/>
    <w:rsid w:val="00F46ECB"/>
    <w:rsid w:val="00F50F94"/>
    <w:rsid w:val="00F525B5"/>
    <w:rsid w:val="00F53D53"/>
    <w:rsid w:val="00F543B9"/>
    <w:rsid w:val="00F56177"/>
    <w:rsid w:val="00F56187"/>
    <w:rsid w:val="00F575D3"/>
    <w:rsid w:val="00F5786C"/>
    <w:rsid w:val="00F62117"/>
    <w:rsid w:val="00F62365"/>
    <w:rsid w:val="00F630A7"/>
    <w:rsid w:val="00F66225"/>
    <w:rsid w:val="00F662BC"/>
    <w:rsid w:val="00F6708D"/>
    <w:rsid w:val="00F707F0"/>
    <w:rsid w:val="00F71AD5"/>
    <w:rsid w:val="00F729ED"/>
    <w:rsid w:val="00F733B8"/>
    <w:rsid w:val="00F74F50"/>
    <w:rsid w:val="00F75192"/>
    <w:rsid w:val="00F77822"/>
    <w:rsid w:val="00F838B6"/>
    <w:rsid w:val="00F83B0D"/>
    <w:rsid w:val="00F83C31"/>
    <w:rsid w:val="00F85F05"/>
    <w:rsid w:val="00F86AD1"/>
    <w:rsid w:val="00F9222A"/>
    <w:rsid w:val="00F922EA"/>
    <w:rsid w:val="00F923CE"/>
    <w:rsid w:val="00F92927"/>
    <w:rsid w:val="00F949E0"/>
    <w:rsid w:val="00F94F0F"/>
    <w:rsid w:val="00F979B3"/>
    <w:rsid w:val="00F97CCD"/>
    <w:rsid w:val="00FA320D"/>
    <w:rsid w:val="00FA35D6"/>
    <w:rsid w:val="00FA362B"/>
    <w:rsid w:val="00FA53E9"/>
    <w:rsid w:val="00FA60EC"/>
    <w:rsid w:val="00FB04E9"/>
    <w:rsid w:val="00FB1179"/>
    <w:rsid w:val="00FB1C6B"/>
    <w:rsid w:val="00FB3361"/>
    <w:rsid w:val="00FB42B4"/>
    <w:rsid w:val="00FB4841"/>
    <w:rsid w:val="00FB6C94"/>
    <w:rsid w:val="00FB7F8B"/>
    <w:rsid w:val="00FC22F5"/>
    <w:rsid w:val="00FC3753"/>
    <w:rsid w:val="00FC5170"/>
    <w:rsid w:val="00FC5743"/>
    <w:rsid w:val="00FC6240"/>
    <w:rsid w:val="00FC7478"/>
    <w:rsid w:val="00FD0A26"/>
    <w:rsid w:val="00FD118C"/>
    <w:rsid w:val="00FD2A7C"/>
    <w:rsid w:val="00FD332F"/>
    <w:rsid w:val="00FD7395"/>
    <w:rsid w:val="00FE1CC1"/>
    <w:rsid w:val="00FE385E"/>
    <w:rsid w:val="00FE3CE2"/>
    <w:rsid w:val="00FE542E"/>
    <w:rsid w:val="00FE54AD"/>
    <w:rsid w:val="00FE5633"/>
    <w:rsid w:val="00FE6F7A"/>
    <w:rsid w:val="00FE7B14"/>
    <w:rsid w:val="00FF02D5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4ED1F"/>
  <w15:docId w15:val="{5193834D-BBD9-4ECD-983D-092FEF9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ind w:left="100" w:right="3120"/>
      <w:outlineLvl w:val="0"/>
    </w:pPr>
    <w:rPr>
      <w:rFonts w:ascii="Calibri" w:eastAsia="Calibri" w:hAnsi="Calibri" w:cs="Calibri"/>
      <w:b/>
      <w:bCs/>
      <w:sz w:val="40"/>
      <w:szCs w:val="40"/>
      <w:lang w:val="en-US" w:eastAsia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/>
      <w:ind w:left="1824" w:right="322"/>
      <w:outlineLvl w:val="1"/>
    </w:pPr>
    <w:rPr>
      <w:rFonts w:ascii="Calibri" w:eastAsia="Calibri" w:hAnsi="Calibri" w:cs="Calibri"/>
      <w:b/>
      <w:bCs/>
      <w:sz w:val="32"/>
      <w:szCs w:val="32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855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48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/>
      <w:ind w:left="100"/>
    </w:pPr>
    <w:rPr>
      <w:rFonts w:ascii="Arial Narrow" w:eastAsia="Arial Narrow" w:hAnsi="Arial Narrow" w:cs="Arial Narrow"/>
      <w:sz w:val="18"/>
      <w:szCs w:val="18"/>
      <w:lang w:val="en-US" w:eastAsia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</w:pPr>
    <w:rPr>
      <w:rFonts w:ascii="Arial Narrow" w:eastAsia="Arial Narrow" w:hAnsi="Arial Narrow" w:cs="Arial Narrow"/>
      <w:sz w:val="26"/>
      <w:szCs w:val="2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</w:pPr>
    <w:rPr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</w:pPr>
    <w:rPr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ind w:left="2835"/>
      <w:jc w:val="both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character" w:customStyle="1" w:styleId="Meno1">
    <w:name w:val="Menção1"/>
    <w:basedOn w:val="Fontepargpadro"/>
    <w:uiPriority w:val="99"/>
    <w:semiHidden/>
    <w:unhideWhenUsed/>
    <w:rsid w:val="009B2B4E"/>
    <w:rPr>
      <w:color w:val="2B579A"/>
      <w:shd w:val="clear" w:color="auto" w:fill="E6E6E6"/>
    </w:rPr>
  </w:style>
  <w:style w:type="paragraph" w:customStyle="1" w:styleId="tcu-epgrafe0">
    <w:name w:val="tcu-epgrafe"/>
    <w:basedOn w:val="Normal"/>
    <w:rsid w:val="002A2E6C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D163A3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852A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2A15"/>
    <w:pPr>
      <w:spacing w:after="200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2A15"/>
    <w:rPr>
      <w:rFonts w:ascii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2A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2A15"/>
    <w:rPr>
      <w:rFonts w:ascii="Calibri" w:hAnsi="Calibri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A2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1">
    <w:name w:val="Grid Table 2 Accent 1"/>
    <w:basedOn w:val="Tabelanormal"/>
    <w:uiPriority w:val="47"/>
    <w:rsid w:val="00A216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3Char">
    <w:name w:val="Título 3 Char"/>
    <w:basedOn w:val="Fontepargpadro"/>
    <w:link w:val="Ttulo3"/>
    <w:uiPriority w:val="9"/>
    <w:semiHidden/>
    <w:rsid w:val="007D28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2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3270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ighlightbrs">
    <w:name w:val="highlightbrs"/>
    <w:basedOn w:val="Fontepargpadro"/>
    <w:rsid w:val="00FA35D6"/>
  </w:style>
  <w:style w:type="character" w:customStyle="1" w:styleId="Ttulo4Char">
    <w:name w:val="Título 4 Char"/>
    <w:basedOn w:val="Fontepargpadro"/>
    <w:link w:val="Ttulo4"/>
    <w:uiPriority w:val="9"/>
    <w:semiHidden/>
    <w:rsid w:val="003504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ostratitulonota">
    <w:name w:val="mostratitulonota"/>
    <w:basedOn w:val="Normal"/>
    <w:rsid w:val="0035048F"/>
    <w:pPr>
      <w:spacing w:before="100" w:beforeAutospacing="1" w:after="100" w:afterAutospacing="1"/>
    </w:pPr>
  </w:style>
  <w:style w:type="character" w:customStyle="1" w:styleId="lista-resultadotitulo">
    <w:name w:val="lista-resultado__titulo"/>
    <w:basedOn w:val="Fontepargpadro"/>
    <w:rsid w:val="00861DB4"/>
  </w:style>
  <w:style w:type="character" w:styleId="MenoPendente">
    <w:name w:val="Unresolved Mention"/>
    <w:basedOn w:val="Fontepargpadro"/>
    <w:uiPriority w:val="99"/>
    <w:semiHidden/>
    <w:unhideWhenUsed/>
    <w:rsid w:val="005C4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062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1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178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0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028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23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8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565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12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43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35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2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479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6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02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69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27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56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217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540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0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23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384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24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4790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20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703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2576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844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9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140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119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16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3112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34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7389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495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924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504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7756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965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6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99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178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9333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5036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2065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535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811">
              <w:marLeft w:val="1131"/>
              <w:marRight w:val="566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705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5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5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61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493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821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3175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0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8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3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20/4/pdf/00344339.pdf" TargetMode="External"/><Relationship Id="rId13" Type="http://schemas.openxmlformats.org/officeDocument/2006/relationships/hyperlink" Target="http://www1.tce.pr.gov.br/conteudo/pesquisas-prontas/308475/area/24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2.stj.jus.br/processo/revista/documento/mediado/?componente=ATC&amp;sequencial=35174776&amp;num_registro=201202466478&amp;data=20140505&amp;tipo=5&amp;formato=PDF" TargetMode="External"/><Relationship Id="rId17" Type="http://schemas.openxmlformats.org/officeDocument/2006/relationships/hyperlink" Target="http://www1.tce.pr.gov.br/conteudo/sumulas-selecionadas/316602/area/2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conteudo/repercussao-geral-no-stf-e-os-tribunais-de-contas/307026/area/24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erj.tc.br/consulta-processo/Processo/ObterDocumento?numero=240048&amp;dv=7&amp;ano=2019&amp;idNumero=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conteudo/boletim-de-jurisprudencia-internacional/316601/area/249" TargetMode="External"/><Relationship Id="rId10" Type="http://schemas.openxmlformats.org/officeDocument/2006/relationships/hyperlink" Target="https://pesquisa.apps.tcu.gov.b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0/7/pdf/00347327.pdf" TargetMode="External"/><Relationship Id="rId14" Type="http://schemas.openxmlformats.org/officeDocument/2006/relationships/hyperlink" Target="http://www1.tce.pr.gov.br/conteudo/boletim-informativo-de-jurisprudencia/280400/area/24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F797-9CC4-49A3-9F93-8C6110EF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2103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Fernando Barros</cp:lastModifiedBy>
  <cp:revision>2</cp:revision>
  <cp:lastPrinted>2019-04-01T19:45:00Z</cp:lastPrinted>
  <dcterms:created xsi:type="dcterms:W3CDTF">2020-07-20T09:08:00Z</dcterms:created>
  <dcterms:modified xsi:type="dcterms:W3CDTF">2020-07-20T09:08:00Z</dcterms:modified>
</cp:coreProperties>
</file>