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7F5CB" w14:textId="0BEC23B8" w:rsidR="0066626B" w:rsidRPr="002514A8" w:rsidRDefault="0066626B" w:rsidP="00284795">
      <w:pPr>
        <w:pStyle w:val="Texto"/>
        <w:spacing w:after="120"/>
        <w:ind w:firstLine="0"/>
        <w:jc w:val="center"/>
        <w:rPr>
          <w:rFonts w:eastAsia="Arial" w:cs="Arial"/>
          <w:b/>
          <w:bCs/>
          <w:sz w:val="28"/>
          <w:szCs w:val="28"/>
        </w:rPr>
      </w:pPr>
      <w:r w:rsidRPr="002514A8">
        <w:rPr>
          <w:rFonts w:eastAsia="Arial" w:cs="Arial"/>
          <w:b/>
          <w:bCs/>
          <w:sz w:val="28"/>
          <w:szCs w:val="28"/>
        </w:rPr>
        <w:t xml:space="preserve">INSTRUÇÃO NORMATIVA Nº </w:t>
      </w:r>
      <w:r w:rsidR="00A04348">
        <w:rPr>
          <w:rFonts w:eastAsia="Arial" w:cs="Arial"/>
          <w:b/>
          <w:bCs/>
          <w:sz w:val="28"/>
          <w:szCs w:val="28"/>
        </w:rPr>
        <w:t>172/2</w:t>
      </w:r>
      <w:r w:rsidR="00FE5E74">
        <w:rPr>
          <w:rFonts w:eastAsia="Arial" w:cs="Arial"/>
          <w:b/>
          <w:bCs/>
          <w:sz w:val="28"/>
          <w:szCs w:val="28"/>
        </w:rPr>
        <w:t>02</w:t>
      </w:r>
      <w:r w:rsidR="00A04348">
        <w:rPr>
          <w:rFonts w:eastAsia="Arial" w:cs="Arial"/>
          <w:b/>
          <w:bCs/>
          <w:sz w:val="28"/>
          <w:szCs w:val="28"/>
        </w:rPr>
        <w:t>2</w:t>
      </w:r>
      <w:r w:rsidR="00BE44CA">
        <w:rPr>
          <w:rStyle w:val="Refdenotaderodap"/>
          <w:rFonts w:eastAsia="Arial" w:cs="Arial"/>
          <w:b/>
          <w:bCs/>
          <w:sz w:val="28"/>
          <w:szCs w:val="28"/>
        </w:rPr>
        <w:footnoteReference w:id="2"/>
      </w:r>
    </w:p>
    <w:p w14:paraId="458D1D60" w14:textId="77777777" w:rsidR="00047FD7" w:rsidRPr="00284795" w:rsidRDefault="0066626B" w:rsidP="00284795">
      <w:pPr>
        <w:pStyle w:val="Ementa"/>
        <w:spacing w:before="360" w:after="360"/>
        <w:ind w:left="4536" w:firstLine="0"/>
        <w:rPr>
          <w:rFonts w:eastAsia="Arial" w:cs="Arial"/>
          <w:i/>
          <w:iCs/>
          <w:sz w:val="22"/>
          <w:szCs w:val="22"/>
        </w:rPr>
      </w:pPr>
      <w:r w:rsidRPr="00284795">
        <w:rPr>
          <w:rFonts w:eastAsia="Arial" w:cs="Arial"/>
          <w:i/>
          <w:iCs/>
          <w:sz w:val="22"/>
          <w:szCs w:val="22"/>
        </w:rPr>
        <w:t xml:space="preserve">Dispõe sobre a </w:t>
      </w:r>
      <w:r w:rsidR="00985A19" w:rsidRPr="00284795">
        <w:rPr>
          <w:rFonts w:eastAsia="Arial" w:cs="Arial"/>
          <w:i/>
          <w:iCs/>
          <w:sz w:val="22"/>
          <w:szCs w:val="22"/>
        </w:rPr>
        <w:t xml:space="preserve">forma e a composição da </w:t>
      </w:r>
      <w:r w:rsidR="008C2C4A" w:rsidRPr="00284795">
        <w:rPr>
          <w:rFonts w:eastAsia="Arial" w:cs="Arial"/>
          <w:i/>
          <w:iCs/>
          <w:sz w:val="22"/>
          <w:szCs w:val="22"/>
        </w:rPr>
        <w:t>Prestação de Contas</w:t>
      </w:r>
      <w:r w:rsidRPr="00284795">
        <w:rPr>
          <w:rFonts w:eastAsia="Arial" w:cs="Arial"/>
          <w:i/>
          <w:iCs/>
          <w:sz w:val="22"/>
          <w:szCs w:val="22"/>
        </w:rPr>
        <w:t xml:space="preserve"> d</w:t>
      </w:r>
      <w:r w:rsidR="007563A2" w:rsidRPr="00284795">
        <w:rPr>
          <w:rFonts w:eastAsia="Arial" w:cs="Arial"/>
          <w:i/>
          <w:iCs/>
          <w:sz w:val="22"/>
          <w:szCs w:val="22"/>
        </w:rPr>
        <w:t>e</w:t>
      </w:r>
      <w:r w:rsidRPr="00284795">
        <w:rPr>
          <w:rFonts w:eastAsia="Arial" w:cs="Arial"/>
          <w:i/>
          <w:iCs/>
          <w:sz w:val="22"/>
          <w:szCs w:val="22"/>
        </w:rPr>
        <w:t xml:space="preserve"> </w:t>
      </w:r>
      <w:r w:rsidR="005D0868" w:rsidRPr="00284795">
        <w:rPr>
          <w:rFonts w:eastAsia="Arial" w:cs="Arial"/>
          <w:i/>
          <w:iCs/>
          <w:sz w:val="22"/>
          <w:szCs w:val="22"/>
        </w:rPr>
        <w:t>P</w:t>
      </w:r>
      <w:r w:rsidRPr="00284795">
        <w:rPr>
          <w:rFonts w:eastAsia="Arial" w:cs="Arial"/>
          <w:i/>
          <w:iCs/>
          <w:sz w:val="22"/>
          <w:szCs w:val="22"/>
        </w:rPr>
        <w:t>refeito</w:t>
      </w:r>
      <w:r w:rsidR="00301EE3" w:rsidRPr="00284795">
        <w:rPr>
          <w:rFonts w:eastAsia="Arial" w:cs="Arial"/>
          <w:i/>
          <w:iCs/>
          <w:sz w:val="22"/>
          <w:szCs w:val="22"/>
        </w:rPr>
        <w:t>s</w:t>
      </w:r>
      <w:r w:rsidRPr="00284795">
        <w:rPr>
          <w:rFonts w:eastAsia="Arial" w:cs="Arial"/>
          <w:i/>
          <w:iCs/>
          <w:sz w:val="22"/>
          <w:szCs w:val="22"/>
        </w:rPr>
        <w:t xml:space="preserve"> </w:t>
      </w:r>
      <w:r w:rsidR="005D0868" w:rsidRPr="00284795">
        <w:rPr>
          <w:rFonts w:eastAsia="Arial" w:cs="Arial"/>
          <w:i/>
          <w:iCs/>
          <w:sz w:val="22"/>
          <w:szCs w:val="22"/>
        </w:rPr>
        <w:t>M</w:t>
      </w:r>
      <w:r w:rsidR="00B54D02" w:rsidRPr="00284795">
        <w:rPr>
          <w:rFonts w:eastAsia="Arial" w:cs="Arial"/>
          <w:i/>
          <w:iCs/>
          <w:sz w:val="22"/>
          <w:szCs w:val="22"/>
        </w:rPr>
        <w:t>unicipa</w:t>
      </w:r>
      <w:r w:rsidR="00301EE3" w:rsidRPr="00284795">
        <w:rPr>
          <w:rFonts w:eastAsia="Arial" w:cs="Arial"/>
          <w:i/>
          <w:iCs/>
          <w:sz w:val="22"/>
          <w:szCs w:val="22"/>
        </w:rPr>
        <w:t>is</w:t>
      </w:r>
      <w:r w:rsidR="007F250E" w:rsidRPr="00284795">
        <w:rPr>
          <w:rFonts w:eastAsia="Arial" w:cs="Arial"/>
          <w:i/>
          <w:iCs/>
          <w:sz w:val="22"/>
          <w:szCs w:val="22"/>
        </w:rPr>
        <w:t>, nos termos do art. 216, § 2º, do Regimento Interno</w:t>
      </w:r>
      <w:r w:rsidRPr="00284795">
        <w:rPr>
          <w:rFonts w:eastAsia="Arial" w:cs="Arial"/>
          <w:i/>
          <w:iCs/>
          <w:sz w:val="22"/>
          <w:szCs w:val="22"/>
        </w:rPr>
        <w:t>.</w:t>
      </w:r>
    </w:p>
    <w:p w14:paraId="51ACC14B" w14:textId="77777777" w:rsidR="0066626B" w:rsidRPr="002514A8" w:rsidRDefault="0066626B" w:rsidP="003839C8">
      <w:pPr>
        <w:pStyle w:val="Paragrafo"/>
        <w:numPr>
          <w:ilvl w:val="0"/>
          <w:numId w:val="0"/>
        </w:numPr>
        <w:spacing w:after="120"/>
        <w:ind w:firstLine="1134"/>
        <w:rPr>
          <w:rFonts w:eastAsia="Arial" w:cs="Arial"/>
        </w:rPr>
      </w:pPr>
      <w:r w:rsidRPr="002514A8">
        <w:rPr>
          <w:rFonts w:eastAsia="Arial" w:cs="Arial"/>
        </w:rPr>
        <w:t xml:space="preserve">O </w:t>
      </w:r>
      <w:r w:rsidRPr="002514A8">
        <w:rPr>
          <w:rFonts w:eastAsia="Arial" w:cs="Arial"/>
          <w:b/>
          <w:bCs/>
        </w:rPr>
        <w:t>TRIBUNAL DE CONTAS DO ESTADO DO PARANÁ</w:t>
      </w:r>
      <w:r w:rsidRPr="002514A8">
        <w:rPr>
          <w:rFonts w:eastAsia="Arial" w:cs="Arial"/>
        </w:rPr>
        <w:t xml:space="preserve">, no uso das atribuições contidas no art. 2º, I, da Lei Complementar </w:t>
      </w:r>
      <w:r w:rsidR="008C088E" w:rsidRPr="002514A8">
        <w:rPr>
          <w:rFonts w:eastAsia="Arial" w:cs="Arial"/>
        </w:rPr>
        <w:t xml:space="preserve">Estadual </w:t>
      </w:r>
      <w:r w:rsidRPr="002514A8">
        <w:rPr>
          <w:rFonts w:eastAsia="Arial" w:cs="Arial"/>
        </w:rPr>
        <w:t>nº 113, de 15 de dezembro de 2005</w:t>
      </w:r>
      <w:r w:rsidR="00610F8A" w:rsidRPr="002514A8">
        <w:rPr>
          <w:rFonts w:eastAsia="Arial" w:cs="Arial"/>
        </w:rPr>
        <w:t>, e no art. 5º, XIII,</w:t>
      </w:r>
      <w:r w:rsidR="00347AB7" w:rsidRPr="002514A8">
        <w:rPr>
          <w:rFonts w:eastAsia="Arial" w:cs="Arial"/>
        </w:rPr>
        <w:t xml:space="preserve"> </w:t>
      </w:r>
      <w:r w:rsidR="00610F8A" w:rsidRPr="002514A8">
        <w:rPr>
          <w:rFonts w:eastAsia="Arial" w:cs="Arial"/>
        </w:rPr>
        <w:t>do Regimento Interno</w:t>
      </w:r>
      <w:r w:rsidR="00BD59F1" w:rsidRPr="002514A8">
        <w:rPr>
          <w:rFonts w:eastAsia="Arial" w:cs="Arial"/>
        </w:rPr>
        <w:t>,</w:t>
      </w:r>
      <w:r w:rsidRPr="002514A8">
        <w:rPr>
          <w:rFonts w:eastAsia="Arial" w:cs="Arial"/>
        </w:rPr>
        <w:t xml:space="preserve"> e </w:t>
      </w:r>
      <w:r w:rsidR="00E775D9" w:rsidRPr="002514A8">
        <w:rPr>
          <w:rFonts w:eastAsia="Arial" w:cs="Arial"/>
        </w:rPr>
        <w:t>com base no</w:t>
      </w:r>
      <w:r w:rsidR="00347AB7" w:rsidRPr="002514A8">
        <w:rPr>
          <w:rFonts w:eastAsia="Arial" w:cs="Arial"/>
        </w:rPr>
        <w:t>s</w:t>
      </w:r>
      <w:r w:rsidR="00E775D9" w:rsidRPr="002514A8">
        <w:rPr>
          <w:rFonts w:eastAsia="Arial" w:cs="Arial"/>
        </w:rPr>
        <w:t xml:space="preserve"> </w:t>
      </w:r>
      <w:proofErr w:type="spellStart"/>
      <w:r w:rsidR="00BD59F1" w:rsidRPr="002514A8">
        <w:rPr>
          <w:rFonts w:eastAsia="Arial" w:cs="Arial"/>
        </w:rPr>
        <w:t>art</w:t>
      </w:r>
      <w:r w:rsidR="00347AB7" w:rsidRPr="002514A8">
        <w:rPr>
          <w:rFonts w:eastAsia="Arial" w:cs="Arial"/>
        </w:rPr>
        <w:t>s</w:t>
      </w:r>
      <w:proofErr w:type="spellEnd"/>
      <w:r w:rsidR="00BD59F1" w:rsidRPr="002514A8">
        <w:rPr>
          <w:rFonts w:eastAsia="Arial" w:cs="Arial"/>
        </w:rPr>
        <w:t>.</w:t>
      </w:r>
      <w:r w:rsidR="00347AB7" w:rsidRPr="002514A8">
        <w:rPr>
          <w:rFonts w:eastAsia="Arial" w:cs="Arial"/>
        </w:rPr>
        <w:t xml:space="preserve"> 187, II, 193 a 196, e</w:t>
      </w:r>
      <w:r w:rsidR="00BD59F1" w:rsidRPr="002514A8">
        <w:rPr>
          <w:rFonts w:eastAsia="Arial" w:cs="Arial"/>
        </w:rPr>
        <w:t xml:space="preserve"> 216</w:t>
      </w:r>
      <w:r w:rsidRPr="002514A8">
        <w:rPr>
          <w:rFonts w:eastAsia="Arial" w:cs="Arial"/>
        </w:rPr>
        <w:t xml:space="preserve">, § 2º, </w:t>
      </w:r>
      <w:r w:rsidR="00E775D9" w:rsidRPr="002514A8">
        <w:rPr>
          <w:rFonts w:eastAsia="Arial" w:cs="Arial"/>
        </w:rPr>
        <w:t xml:space="preserve">também </w:t>
      </w:r>
      <w:r w:rsidRPr="002514A8">
        <w:rPr>
          <w:rFonts w:eastAsia="Arial" w:cs="Arial"/>
        </w:rPr>
        <w:t>do Regimento Interno</w:t>
      </w:r>
      <w:r w:rsidR="00BE11D8" w:rsidRPr="002514A8">
        <w:rPr>
          <w:rFonts w:eastAsia="Arial" w:cs="Arial"/>
        </w:rPr>
        <w:t>,</w:t>
      </w:r>
      <w:r w:rsidR="006F4838" w:rsidRPr="002514A8">
        <w:rPr>
          <w:rFonts w:eastAsia="Arial" w:cs="Arial"/>
        </w:rPr>
        <w:t xml:space="preserve"> con</w:t>
      </w:r>
      <w:r w:rsidR="00516982" w:rsidRPr="002514A8">
        <w:rPr>
          <w:rFonts w:eastAsia="Arial" w:cs="Arial"/>
        </w:rPr>
        <w:t xml:space="preserve">siderando o </w:t>
      </w:r>
      <w:r w:rsidR="00516982" w:rsidRPr="009B5672">
        <w:rPr>
          <w:rFonts w:eastAsia="Arial" w:cs="Arial"/>
        </w:rPr>
        <w:t xml:space="preserve">Acórdão nº </w:t>
      </w:r>
      <w:r w:rsidR="00FE5E74" w:rsidRPr="009B5672">
        <w:rPr>
          <w:rFonts w:eastAsia="Arial" w:cs="Arial"/>
        </w:rPr>
        <w:t>1.171/</w:t>
      </w:r>
      <w:r w:rsidR="00516982" w:rsidRPr="009B5672">
        <w:rPr>
          <w:rFonts w:eastAsia="Arial" w:cs="Arial"/>
        </w:rPr>
        <w:t>/2022 -</w:t>
      </w:r>
      <w:r w:rsidR="006F4838" w:rsidRPr="009B5672">
        <w:rPr>
          <w:rFonts w:eastAsia="Arial" w:cs="Arial"/>
        </w:rPr>
        <w:t xml:space="preserve"> Tribunal Pleno</w:t>
      </w:r>
      <w:r w:rsidR="006F4838" w:rsidRPr="002514A8">
        <w:rPr>
          <w:rFonts w:eastAsia="Arial" w:cs="Arial"/>
        </w:rPr>
        <w:t xml:space="preserve">, Processo nº </w:t>
      </w:r>
      <w:r w:rsidR="00FE5E74">
        <w:rPr>
          <w:rFonts w:eastAsia="Arial" w:cs="Arial"/>
        </w:rPr>
        <w:t>341150</w:t>
      </w:r>
      <w:r w:rsidR="006F4838" w:rsidRPr="002514A8">
        <w:rPr>
          <w:rFonts w:eastAsia="Arial" w:cs="Arial"/>
        </w:rPr>
        <w:t>/</w:t>
      </w:r>
      <w:r w:rsidR="00FE5E74">
        <w:rPr>
          <w:rFonts w:eastAsia="Arial" w:cs="Arial"/>
        </w:rPr>
        <w:t>20</w:t>
      </w:r>
      <w:r w:rsidR="006F4838" w:rsidRPr="002514A8">
        <w:rPr>
          <w:rFonts w:eastAsia="Arial" w:cs="Arial"/>
        </w:rPr>
        <w:t>22,</w:t>
      </w:r>
    </w:p>
    <w:p w14:paraId="6B8036C8" w14:textId="77777777" w:rsidR="0066626B" w:rsidRDefault="0066626B" w:rsidP="003839C8">
      <w:pPr>
        <w:pStyle w:val="Texto"/>
        <w:spacing w:before="360" w:after="240"/>
        <w:ind w:firstLine="1134"/>
        <w:rPr>
          <w:rFonts w:eastAsia="Arial" w:cs="Arial"/>
          <w:b/>
          <w:bCs/>
        </w:rPr>
      </w:pPr>
      <w:r w:rsidRPr="002514A8">
        <w:rPr>
          <w:rFonts w:eastAsia="Arial" w:cs="Arial"/>
          <w:b/>
          <w:bCs/>
        </w:rPr>
        <w:t>RESOLVE</w:t>
      </w:r>
      <w:r w:rsidR="00BE11D8" w:rsidRPr="002514A8">
        <w:rPr>
          <w:rFonts w:eastAsia="Arial" w:cs="Arial"/>
          <w:b/>
          <w:bCs/>
        </w:rPr>
        <w:t>:</w:t>
      </w:r>
    </w:p>
    <w:p w14:paraId="30C27D02" w14:textId="77777777" w:rsidR="009E1C33" w:rsidRPr="002514A8" w:rsidRDefault="0066626B" w:rsidP="00732CE4">
      <w:pPr>
        <w:pStyle w:val="Ttulo1"/>
        <w:spacing w:before="360" w:after="0"/>
        <w:rPr>
          <w:rStyle w:val="Forte"/>
          <w:rFonts w:eastAsia="Arial" w:cs="Arial"/>
        </w:rPr>
      </w:pPr>
      <w:bookmarkStart w:id="1" w:name="_Toc103326099"/>
      <w:bookmarkStart w:id="2" w:name="_Toc104385363"/>
      <w:bookmarkStart w:id="3" w:name="_Toc108448534"/>
      <w:r w:rsidRPr="002514A8">
        <w:rPr>
          <w:rStyle w:val="Forte"/>
          <w:rFonts w:eastAsia="Arial" w:cs="Arial"/>
          <w:b/>
          <w:bCs/>
        </w:rPr>
        <w:t>CAPÍTULO</w:t>
      </w:r>
      <w:r w:rsidRPr="002514A8">
        <w:rPr>
          <w:rFonts w:eastAsia="Arial" w:cs="Arial"/>
        </w:rPr>
        <w:t xml:space="preserve"> I</w:t>
      </w:r>
      <w:bookmarkEnd w:id="1"/>
      <w:bookmarkEnd w:id="2"/>
      <w:bookmarkEnd w:id="3"/>
    </w:p>
    <w:p w14:paraId="3042945D" w14:textId="77777777" w:rsidR="0066626B" w:rsidRPr="002514A8" w:rsidRDefault="0066626B" w:rsidP="00BE44CA">
      <w:pPr>
        <w:pStyle w:val="Ttulo1"/>
        <w:spacing w:before="0" w:after="240"/>
        <w:rPr>
          <w:rFonts w:eastAsia="Arial" w:cs="Arial"/>
        </w:rPr>
      </w:pPr>
      <w:bookmarkStart w:id="4" w:name="_Toc103326100"/>
      <w:bookmarkStart w:id="5" w:name="_Toc104385364"/>
      <w:bookmarkStart w:id="6" w:name="_Toc108448535"/>
      <w:r w:rsidRPr="002514A8">
        <w:rPr>
          <w:rFonts w:eastAsia="Arial" w:cs="Arial"/>
        </w:rPr>
        <w:t xml:space="preserve">DAS DISPOSIÇÕES </w:t>
      </w:r>
      <w:r w:rsidR="00BB3030" w:rsidRPr="002514A8">
        <w:rPr>
          <w:rFonts w:eastAsia="Arial" w:cs="Arial"/>
        </w:rPr>
        <w:t>INICIAIS</w:t>
      </w:r>
      <w:bookmarkEnd w:id="4"/>
      <w:bookmarkEnd w:id="5"/>
      <w:bookmarkEnd w:id="6"/>
    </w:p>
    <w:p w14:paraId="05427713" w14:textId="77777777" w:rsidR="0066626B" w:rsidRPr="002514A8" w:rsidRDefault="002C00DD" w:rsidP="00284795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</w:t>
      </w:r>
      <w:r w:rsidR="008E5ED9" w:rsidRPr="002514A8">
        <w:rPr>
          <w:rFonts w:eastAsia="Arial" w:cs="Arial"/>
          <w:b/>
          <w:bCs/>
        </w:rPr>
        <w:t xml:space="preserve">1º </w:t>
      </w:r>
      <w:r w:rsidR="002335C8" w:rsidRPr="002514A8">
        <w:rPr>
          <w:rFonts w:eastAsia="Arial" w:cs="Arial"/>
        </w:rPr>
        <w:t xml:space="preserve">Esta Instrução Normativa regulamenta o processo de </w:t>
      </w:r>
      <w:r w:rsidR="008E51C1" w:rsidRPr="002514A8">
        <w:rPr>
          <w:rFonts w:eastAsia="Arial" w:cs="Arial"/>
        </w:rPr>
        <w:t>P</w:t>
      </w:r>
      <w:r w:rsidR="008C2C4A" w:rsidRPr="002514A8">
        <w:rPr>
          <w:rFonts w:eastAsia="Arial" w:cs="Arial"/>
        </w:rPr>
        <w:t xml:space="preserve">restação de </w:t>
      </w:r>
      <w:r w:rsidR="008E51C1" w:rsidRPr="002514A8">
        <w:rPr>
          <w:rFonts w:eastAsia="Arial" w:cs="Arial"/>
        </w:rPr>
        <w:t xml:space="preserve">Contas </w:t>
      </w:r>
      <w:r w:rsidR="002335C8" w:rsidRPr="002514A8">
        <w:rPr>
          <w:rFonts w:eastAsia="Arial" w:cs="Arial"/>
        </w:rPr>
        <w:t>d</w:t>
      </w:r>
      <w:r w:rsidR="007563A2" w:rsidRPr="002514A8">
        <w:rPr>
          <w:rFonts w:eastAsia="Arial" w:cs="Arial"/>
        </w:rPr>
        <w:t>e</w:t>
      </w:r>
      <w:r w:rsidR="002335C8" w:rsidRPr="002514A8">
        <w:rPr>
          <w:rFonts w:eastAsia="Arial" w:cs="Arial"/>
        </w:rPr>
        <w:t xml:space="preserve"> Pr</w:t>
      </w:r>
      <w:r w:rsidR="004850DE" w:rsidRPr="002514A8">
        <w:rPr>
          <w:rFonts w:eastAsia="Arial" w:cs="Arial"/>
        </w:rPr>
        <w:t>efeito Municipa</w:t>
      </w:r>
      <w:r w:rsidR="00FC7B69" w:rsidRPr="002514A8">
        <w:rPr>
          <w:rFonts w:eastAsia="Arial" w:cs="Arial"/>
        </w:rPr>
        <w:t>l no Estado</w:t>
      </w:r>
      <w:r w:rsidR="004850DE" w:rsidRPr="002514A8">
        <w:rPr>
          <w:rFonts w:eastAsia="Arial" w:cs="Arial"/>
        </w:rPr>
        <w:t xml:space="preserve"> do Paraná</w:t>
      </w:r>
      <w:r w:rsidR="002335C8" w:rsidRPr="002514A8">
        <w:rPr>
          <w:rFonts w:eastAsia="Arial" w:cs="Arial"/>
        </w:rPr>
        <w:t>, visando à emissão do Parecer Prévio conclusivo pelo Tribunal de Contas para fins de julgamento das referidas contas pelas respectivas Câmaras Municipais de Vereadores, nos termos do art. 31, § 2º, da Constituição Federal</w:t>
      </w:r>
      <w:r w:rsidR="00DC35A4" w:rsidRPr="002514A8">
        <w:rPr>
          <w:rFonts w:eastAsia="Arial" w:cs="Arial"/>
        </w:rPr>
        <w:t>,</w:t>
      </w:r>
      <w:r w:rsidR="002335C8" w:rsidRPr="002514A8">
        <w:rPr>
          <w:rFonts w:eastAsia="Arial" w:cs="Arial"/>
        </w:rPr>
        <w:t xml:space="preserve"> e do art. 18, § 2º, da Constituição do Estado do Paraná.</w:t>
      </w:r>
    </w:p>
    <w:p w14:paraId="61DECBB9" w14:textId="77777777" w:rsidR="002335C8" w:rsidRPr="002514A8" w:rsidRDefault="008E5ED9" w:rsidP="00C2083B">
      <w:pPr>
        <w:spacing w:after="0"/>
        <w:rPr>
          <w:rFonts w:eastAsia="Arial" w:cs="Arial"/>
        </w:rPr>
      </w:pPr>
      <w:bookmarkStart w:id="7" w:name="_Ref98147506"/>
      <w:r w:rsidRPr="002514A8">
        <w:rPr>
          <w:rFonts w:eastAsia="Arial" w:cs="Arial"/>
          <w:b/>
          <w:bCs/>
        </w:rPr>
        <w:t xml:space="preserve">Art. 2º </w:t>
      </w:r>
      <w:r w:rsidR="002335C8" w:rsidRPr="002514A8">
        <w:rPr>
          <w:rFonts w:eastAsia="Arial" w:cs="Arial"/>
        </w:rPr>
        <w:t>O Parecer Prévio sobre as contas d</w:t>
      </w:r>
      <w:r w:rsidR="00B91A93" w:rsidRPr="002514A8">
        <w:rPr>
          <w:rFonts w:eastAsia="Arial" w:cs="Arial"/>
        </w:rPr>
        <w:t>e</w:t>
      </w:r>
      <w:r w:rsidR="002335C8" w:rsidRPr="002514A8">
        <w:rPr>
          <w:rFonts w:eastAsia="Arial" w:cs="Arial"/>
        </w:rPr>
        <w:t xml:space="preserve"> Prefeito Municipal não vincula exames futuros sobre a matéria e não implica convalidação ou saneamento de fatos ou apontamentos, bem como não condiciona o julgamento das contas dos demais administradores e responsáveis por bens, dinheiros e valores públicos, nos termos do art. 217-B do Regimento Interno.</w:t>
      </w:r>
      <w:bookmarkEnd w:id="7"/>
    </w:p>
    <w:p w14:paraId="3B3A5E69" w14:textId="77777777" w:rsidR="00892EC7" w:rsidRPr="002514A8" w:rsidRDefault="00892EC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lastRenderedPageBreak/>
        <w:t>Parágrafo único. Poderá o Relator determinar</w:t>
      </w:r>
      <w:r w:rsidR="008E41F7" w:rsidRPr="002514A8">
        <w:rPr>
          <w:rFonts w:eastAsia="Arial" w:cs="Arial"/>
        </w:rPr>
        <w:t xml:space="preserve"> </w:t>
      </w:r>
      <w:r w:rsidRPr="002514A8">
        <w:rPr>
          <w:rFonts w:eastAsia="Arial" w:cs="Arial"/>
        </w:rPr>
        <w:t>a abertura de procedimento próprio</w:t>
      </w:r>
      <w:r w:rsidR="0035472F" w:rsidRPr="002514A8">
        <w:rPr>
          <w:rFonts w:eastAsia="Arial" w:cs="Arial"/>
        </w:rPr>
        <w:t>, nos termos do Regimento Interno,</w:t>
      </w:r>
      <w:r w:rsidRPr="002514A8">
        <w:rPr>
          <w:rFonts w:eastAsia="Arial" w:cs="Arial"/>
        </w:rPr>
        <w:t xml:space="preserve"> para apuração de responsabilidades</w:t>
      </w:r>
      <w:r w:rsidR="0035472F" w:rsidRPr="002514A8">
        <w:rPr>
          <w:rFonts w:eastAsia="Arial" w:cs="Arial"/>
        </w:rPr>
        <w:t>.</w:t>
      </w:r>
    </w:p>
    <w:p w14:paraId="4944B2B1" w14:textId="77777777" w:rsidR="00C140B9" w:rsidRPr="002514A8" w:rsidRDefault="008E5ED9" w:rsidP="00C2083B">
      <w:pPr>
        <w:spacing w:after="0"/>
        <w:rPr>
          <w:rFonts w:eastAsia="Arial" w:cs="Arial"/>
        </w:rPr>
      </w:pPr>
      <w:bookmarkStart w:id="8" w:name="_Ref102659776"/>
      <w:r w:rsidRPr="002514A8">
        <w:rPr>
          <w:rFonts w:eastAsia="Arial" w:cs="Arial"/>
          <w:b/>
          <w:bCs/>
        </w:rPr>
        <w:t xml:space="preserve">Art. 3º </w:t>
      </w:r>
      <w:r w:rsidR="00411789" w:rsidRPr="002514A8">
        <w:rPr>
          <w:rFonts w:eastAsia="Arial" w:cs="Arial"/>
        </w:rPr>
        <w:t xml:space="preserve">Os procedimentos realizados no curso </w:t>
      </w:r>
      <w:r w:rsidR="00262BE9" w:rsidRPr="002514A8">
        <w:rPr>
          <w:rFonts w:eastAsia="Arial" w:cs="Arial"/>
        </w:rPr>
        <w:t>do processo de Prestação de Contas de Prefeito Municipal</w:t>
      </w:r>
      <w:r w:rsidR="00411789" w:rsidRPr="002514A8">
        <w:rPr>
          <w:rFonts w:eastAsia="Arial" w:cs="Arial"/>
        </w:rPr>
        <w:t xml:space="preserve"> </w:t>
      </w:r>
      <w:r w:rsidR="00590AC1" w:rsidRPr="002514A8">
        <w:rPr>
          <w:rFonts w:eastAsia="Arial" w:cs="Arial"/>
        </w:rPr>
        <w:t>observar</w:t>
      </w:r>
      <w:r w:rsidR="00464CC6" w:rsidRPr="002514A8">
        <w:rPr>
          <w:rFonts w:eastAsia="Arial" w:cs="Arial"/>
        </w:rPr>
        <w:t>ão</w:t>
      </w:r>
      <w:r w:rsidR="00590AC1" w:rsidRPr="002514A8">
        <w:rPr>
          <w:rFonts w:eastAsia="Arial" w:cs="Arial"/>
        </w:rPr>
        <w:t xml:space="preserve"> os padrões profissionais de auditoria do setor público, assim como as diretrizes aprovadas pelo Tribunal de Contas, sendo rea</w:t>
      </w:r>
      <w:r w:rsidR="00081797" w:rsidRPr="002514A8">
        <w:rPr>
          <w:rFonts w:eastAsia="Arial" w:cs="Arial"/>
        </w:rPr>
        <w:t>lizados</w:t>
      </w:r>
      <w:r w:rsidR="002D1395" w:rsidRPr="002514A8">
        <w:rPr>
          <w:rFonts w:eastAsia="Arial" w:cs="Arial"/>
        </w:rPr>
        <w:t xml:space="preserve"> concomitante e </w:t>
      </w:r>
      <w:r w:rsidR="002D1395" w:rsidRPr="002514A8">
        <w:rPr>
          <w:rFonts w:eastAsia="Arial" w:cs="Arial"/>
          <w:i/>
          <w:iCs/>
        </w:rPr>
        <w:t>a posteriori</w:t>
      </w:r>
      <w:r w:rsidR="00951451" w:rsidRPr="002514A8">
        <w:rPr>
          <w:rFonts w:eastAsia="Arial" w:cs="Arial"/>
          <w:i/>
          <w:iCs/>
        </w:rPr>
        <w:t xml:space="preserve"> </w:t>
      </w:r>
      <w:r w:rsidR="00951451" w:rsidRPr="002514A8">
        <w:rPr>
          <w:rFonts w:eastAsia="Arial" w:cs="Arial"/>
        </w:rPr>
        <w:t>aos atos de gestão</w:t>
      </w:r>
      <w:r w:rsidR="002D1395" w:rsidRPr="002514A8">
        <w:rPr>
          <w:rFonts w:eastAsia="Arial" w:cs="Arial"/>
        </w:rPr>
        <w:t xml:space="preserve">, </w:t>
      </w:r>
      <w:r w:rsidR="00546316" w:rsidRPr="002514A8">
        <w:rPr>
          <w:rFonts w:eastAsia="Arial" w:cs="Arial"/>
        </w:rPr>
        <w:t>de modo a refletir</w:t>
      </w:r>
      <w:r w:rsidR="001D490F" w:rsidRPr="002514A8">
        <w:rPr>
          <w:rFonts w:eastAsia="Arial" w:cs="Arial"/>
        </w:rPr>
        <w:t xml:space="preserve"> </w:t>
      </w:r>
      <w:r w:rsidR="00B87E99" w:rsidRPr="002514A8">
        <w:rPr>
          <w:rFonts w:eastAsia="Arial" w:cs="Arial"/>
        </w:rPr>
        <w:t xml:space="preserve">a </w:t>
      </w:r>
      <w:r w:rsidR="005A7686" w:rsidRPr="002514A8">
        <w:rPr>
          <w:rFonts w:eastAsia="Arial" w:cs="Arial"/>
        </w:rPr>
        <w:t xml:space="preserve">avaliação do Tribunal sobre </w:t>
      </w:r>
      <w:r w:rsidR="001D490F" w:rsidRPr="002514A8">
        <w:rPr>
          <w:rFonts w:eastAsia="Arial" w:cs="Arial"/>
        </w:rPr>
        <w:t>aspectos orçamentários, contábeis, financeiros</w:t>
      </w:r>
      <w:r w:rsidR="00546316" w:rsidRPr="002514A8">
        <w:rPr>
          <w:rFonts w:eastAsia="Arial" w:cs="Arial"/>
        </w:rPr>
        <w:t xml:space="preserve"> e</w:t>
      </w:r>
      <w:r w:rsidR="001D490F" w:rsidRPr="002514A8">
        <w:rPr>
          <w:rFonts w:eastAsia="Arial" w:cs="Arial"/>
        </w:rPr>
        <w:t xml:space="preserve"> patrimoniais</w:t>
      </w:r>
      <w:r w:rsidR="00546316" w:rsidRPr="002514A8">
        <w:rPr>
          <w:rFonts w:eastAsia="Arial" w:cs="Arial"/>
        </w:rPr>
        <w:t>,</w:t>
      </w:r>
      <w:r w:rsidR="001A087B" w:rsidRPr="002514A8">
        <w:rPr>
          <w:rFonts w:eastAsia="Arial" w:cs="Arial"/>
        </w:rPr>
        <w:t xml:space="preserve"> </w:t>
      </w:r>
      <w:r w:rsidR="00546316" w:rsidRPr="002514A8">
        <w:rPr>
          <w:rFonts w:eastAsia="Arial" w:cs="Arial"/>
        </w:rPr>
        <w:t>bem como sobre a</w:t>
      </w:r>
      <w:r w:rsidR="001A087B" w:rsidRPr="002514A8">
        <w:rPr>
          <w:rFonts w:eastAsia="Arial" w:cs="Arial"/>
        </w:rPr>
        <w:t xml:space="preserve"> i</w:t>
      </w:r>
      <w:r w:rsidR="00013C96" w:rsidRPr="002514A8">
        <w:rPr>
          <w:rFonts w:eastAsia="Arial" w:cs="Arial"/>
        </w:rPr>
        <w:t>mplementação de</w:t>
      </w:r>
      <w:r w:rsidR="001D490F" w:rsidRPr="002514A8">
        <w:rPr>
          <w:rFonts w:eastAsia="Arial" w:cs="Arial"/>
        </w:rPr>
        <w:t xml:space="preserve"> políticas públicas</w:t>
      </w:r>
      <w:r w:rsidR="00546316" w:rsidRPr="002514A8">
        <w:rPr>
          <w:rFonts w:eastAsia="Arial" w:cs="Arial"/>
        </w:rPr>
        <w:t>,</w:t>
      </w:r>
      <w:r w:rsidR="0040432E" w:rsidRPr="002514A8">
        <w:rPr>
          <w:rFonts w:eastAsia="Arial" w:cs="Arial"/>
        </w:rPr>
        <w:t xml:space="preserve"> </w:t>
      </w:r>
      <w:r w:rsidR="0031481B" w:rsidRPr="002514A8">
        <w:rPr>
          <w:rFonts w:eastAsia="Arial" w:cs="Arial"/>
        </w:rPr>
        <w:t>no</w:t>
      </w:r>
      <w:r w:rsidR="0040432E" w:rsidRPr="002514A8">
        <w:rPr>
          <w:rFonts w:eastAsia="Arial" w:cs="Arial"/>
        </w:rPr>
        <w:t xml:space="preserve"> exercício </w:t>
      </w:r>
      <w:r w:rsidR="00013C96" w:rsidRPr="002514A8">
        <w:rPr>
          <w:rFonts w:eastAsia="Arial" w:cs="Arial"/>
        </w:rPr>
        <w:t>financeiro</w:t>
      </w:r>
      <w:r w:rsidR="006D0DF2" w:rsidRPr="002514A8">
        <w:rPr>
          <w:rFonts w:eastAsia="Arial" w:cs="Arial"/>
        </w:rPr>
        <w:t xml:space="preserve"> a que se referem a</w:t>
      </w:r>
      <w:bookmarkEnd w:id="8"/>
      <w:r w:rsidR="0086338B" w:rsidRPr="002514A8">
        <w:rPr>
          <w:rFonts w:eastAsia="Arial" w:cs="Arial"/>
        </w:rPr>
        <w:t>s contas.</w:t>
      </w:r>
    </w:p>
    <w:p w14:paraId="6B881441" w14:textId="77777777" w:rsidR="76F6EAF3" w:rsidRPr="002514A8" w:rsidRDefault="76F6EAF3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Parágrafo único. Em observância ao princípio da anualidade, eventuais alterações fáticas ocorridas posteriormente ao exercício das contas não servirão para a mudança do entendimento acerca de situação eventualmente encontrada.</w:t>
      </w:r>
    </w:p>
    <w:p w14:paraId="5E7DE74A" w14:textId="77777777" w:rsidR="006A3318" w:rsidRPr="002514A8" w:rsidRDefault="008E5ED9" w:rsidP="00C2083B">
      <w:pPr>
        <w:spacing w:after="0"/>
        <w:rPr>
          <w:rFonts w:eastAsia="Arial" w:cs="Arial"/>
        </w:rPr>
      </w:pPr>
      <w:bookmarkStart w:id="9" w:name="_Ref97901555"/>
      <w:r w:rsidRPr="002514A8">
        <w:rPr>
          <w:rFonts w:eastAsia="Arial" w:cs="Arial"/>
          <w:b/>
          <w:bCs/>
        </w:rPr>
        <w:t xml:space="preserve">Art. 4º </w:t>
      </w:r>
      <w:r w:rsidR="006A3318" w:rsidRPr="002514A8">
        <w:rPr>
          <w:rFonts w:eastAsia="Arial" w:cs="Arial"/>
        </w:rPr>
        <w:t xml:space="preserve">São etapas do processo de </w:t>
      </w:r>
      <w:r w:rsidR="002F2D65" w:rsidRPr="002514A8">
        <w:rPr>
          <w:rFonts w:eastAsia="Arial" w:cs="Arial"/>
        </w:rPr>
        <w:t>P</w:t>
      </w:r>
      <w:r w:rsidR="005A57E7" w:rsidRPr="002514A8">
        <w:rPr>
          <w:rFonts w:eastAsia="Arial" w:cs="Arial"/>
        </w:rPr>
        <w:t xml:space="preserve">restação </w:t>
      </w:r>
      <w:r w:rsidR="006A3318" w:rsidRPr="002514A8">
        <w:rPr>
          <w:rFonts w:eastAsia="Arial" w:cs="Arial"/>
        </w:rPr>
        <w:t>d</w:t>
      </w:r>
      <w:r w:rsidR="002F2D65" w:rsidRPr="002514A8">
        <w:rPr>
          <w:rFonts w:eastAsia="Arial" w:cs="Arial"/>
        </w:rPr>
        <w:t>e</w:t>
      </w:r>
      <w:r w:rsidR="006A3318" w:rsidRPr="002514A8">
        <w:rPr>
          <w:rFonts w:eastAsia="Arial" w:cs="Arial"/>
        </w:rPr>
        <w:t xml:space="preserve"> </w:t>
      </w:r>
      <w:r w:rsidR="002F2D65" w:rsidRPr="002514A8">
        <w:rPr>
          <w:rFonts w:eastAsia="Arial" w:cs="Arial"/>
        </w:rPr>
        <w:t>C</w:t>
      </w:r>
      <w:r w:rsidR="006A3318" w:rsidRPr="002514A8">
        <w:rPr>
          <w:rFonts w:eastAsia="Arial" w:cs="Arial"/>
        </w:rPr>
        <w:t>ontas d</w:t>
      </w:r>
      <w:r w:rsidR="00CD5BCD" w:rsidRPr="002514A8">
        <w:rPr>
          <w:rFonts w:eastAsia="Arial" w:cs="Arial"/>
        </w:rPr>
        <w:t>e</w:t>
      </w:r>
      <w:r w:rsidR="006A3318" w:rsidRPr="002514A8">
        <w:rPr>
          <w:rFonts w:eastAsia="Arial" w:cs="Arial"/>
        </w:rPr>
        <w:t xml:space="preserve"> Prefeito Municipa</w:t>
      </w:r>
      <w:r w:rsidR="00FC7B69" w:rsidRPr="002514A8">
        <w:rPr>
          <w:rFonts w:eastAsia="Arial" w:cs="Arial"/>
        </w:rPr>
        <w:t>l</w:t>
      </w:r>
      <w:r w:rsidR="0083194C" w:rsidRPr="002514A8">
        <w:rPr>
          <w:rFonts w:eastAsia="Arial" w:cs="Arial"/>
        </w:rPr>
        <w:t xml:space="preserve"> </w:t>
      </w:r>
      <w:r w:rsidR="0069711B" w:rsidRPr="002514A8">
        <w:rPr>
          <w:rFonts w:eastAsia="Arial" w:cs="Arial"/>
        </w:rPr>
        <w:t xml:space="preserve">no </w:t>
      </w:r>
      <w:r w:rsidR="0083194C" w:rsidRPr="002514A8">
        <w:rPr>
          <w:rFonts w:eastAsia="Arial" w:cs="Arial"/>
        </w:rPr>
        <w:t xml:space="preserve">Tribunal de Contas do </w:t>
      </w:r>
      <w:r w:rsidR="0069711B" w:rsidRPr="002514A8">
        <w:rPr>
          <w:rFonts w:eastAsia="Arial" w:cs="Arial"/>
        </w:rPr>
        <w:t xml:space="preserve">Estado do </w:t>
      </w:r>
      <w:r w:rsidR="0083194C" w:rsidRPr="002514A8">
        <w:rPr>
          <w:rFonts w:eastAsia="Arial" w:cs="Arial"/>
        </w:rPr>
        <w:t>Paraná</w:t>
      </w:r>
      <w:r w:rsidR="006A3318" w:rsidRPr="002514A8">
        <w:rPr>
          <w:rFonts w:eastAsia="Arial" w:cs="Arial"/>
        </w:rPr>
        <w:t>:</w:t>
      </w:r>
      <w:bookmarkEnd w:id="9"/>
    </w:p>
    <w:p w14:paraId="1F1EEE75" w14:textId="77777777" w:rsidR="00916D5B" w:rsidRPr="002514A8" w:rsidRDefault="00916D5B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 </w:t>
      </w:r>
      <w:r w:rsidR="00B84A4F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</w:t>
      </w:r>
      <w:r w:rsidR="00B84A4F" w:rsidRPr="002514A8">
        <w:rPr>
          <w:rFonts w:eastAsia="Arial" w:cs="Arial"/>
        </w:rPr>
        <w:t>autuação do processo</w:t>
      </w:r>
      <w:r w:rsidR="009C7735" w:rsidRPr="002514A8">
        <w:rPr>
          <w:rFonts w:eastAsia="Arial" w:cs="Arial"/>
        </w:rPr>
        <w:t>;</w:t>
      </w:r>
    </w:p>
    <w:p w14:paraId="00AEB98D" w14:textId="77777777" w:rsidR="006A3318" w:rsidRPr="002514A8" w:rsidRDefault="000625B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II </w:t>
      </w:r>
      <w:r w:rsidR="00460291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</w:t>
      </w:r>
      <w:r w:rsidR="00460291" w:rsidRPr="002514A8">
        <w:rPr>
          <w:rFonts w:eastAsia="Arial" w:cs="Arial"/>
        </w:rPr>
        <w:t>instrução</w:t>
      </w:r>
      <w:r w:rsidR="006A3318" w:rsidRPr="002514A8">
        <w:rPr>
          <w:rFonts w:eastAsia="Arial" w:cs="Arial"/>
        </w:rPr>
        <w:t xml:space="preserve"> da </w:t>
      </w:r>
      <w:r w:rsidR="00C03AAB" w:rsidRPr="002514A8">
        <w:rPr>
          <w:rFonts w:eastAsia="Arial" w:cs="Arial"/>
        </w:rPr>
        <w:t>unidade técnica</w:t>
      </w:r>
      <w:r w:rsidR="006A3318" w:rsidRPr="002514A8">
        <w:rPr>
          <w:rFonts w:eastAsia="Arial" w:cs="Arial"/>
        </w:rPr>
        <w:t>;</w:t>
      </w:r>
    </w:p>
    <w:p w14:paraId="7112F972" w14:textId="5265DA70" w:rsidR="00AC046C" w:rsidRPr="00AC046C" w:rsidRDefault="00AC046C" w:rsidP="00C2083B">
      <w:pPr>
        <w:spacing w:after="0"/>
        <w:rPr>
          <w:rFonts w:eastAsia="Arial" w:cs="Arial"/>
          <w:strike/>
        </w:rPr>
      </w:pPr>
      <w:r>
        <w:t>III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inicial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Relator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concessão,</w:t>
      </w:r>
      <w:r>
        <w:rPr>
          <w:spacing w:val="-4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necessário,</w:t>
      </w:r>
      <w:r>
        <w:rPr>
          <w:spacing w:val="-1"/>
        </w:rPr>
        <w:t xml:space="preserve"> </w:t>
      </w:r>
      <w:r>
        <w:t xml:space="preserve">do contraditório; </w:t>
      </w:r>
      <w:hyperlink r:id="rId11" w:history="1">
        <w:r w:rsidRPr="00AC046C">
          <w:rPr>
            <w:rStyle w:val="Hyperlink"/>
            <w:rFonts w:cs="Arial"/>
          </w:rPr>
          <w:t>(</w:t>
        </w:r>
        <w:r>
          <w:rPr>
            <w:rStyle w:val="Hyperlink"/>
            <w:rFonts w:cs="Arial"/>
          </w:rPr>
          <w:t>Redação dada</w:t>
        </w:r>
        <w:r w:rsidRPr="00AC046C">
          <w:rPr>
            <w:rStyle w:val="Hyperlink"/>
            <w:rFonts w:cs="Arial"/>
          </w:rPr>
          <w:t xml:space="preserve"> pela </w:t>
        </w:r>
        <w:r w:rsidRPr="00AC046C">
          <w:rPr>
            <w:rStyle w:val="Hyperlink"/>
          </w:rPr>
          <w:t xml:space="preserve">Instrução Normativa n. </w:t>
        </w:r>
        <w:r w:rsidR="001026B8">
          <w:rPr>
            <w:rStyle w:val="Hyperlink"/>
          </w:rPr>
          <w:t>185/2024</w:t>
        </w:r>
        <w:r w:rsidRPr="00AC046C">
          <w:rPr>
            <w:rStyle w:val="Hyperlink"/>
            <w:rFonts w:cs="Arial"/>
          </w:rPr>
          <w:t>)</w:t>
        </w:r>
      </w:hyperlink>
    </w:p>
    <w:p w14:paraId="0B7160E9" w14:textId="77777777" w:rsidR="006A3318" w:rsidRPr="002514A8" w:rsidRDefault="000625B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IV - </w:t>
      </w:r>
      <w:r w:rsidR="00FA6F92" w:rsidRPr="002514A8">
        <w:rPr>
          <w:rFonts w:eastAsia="Arial" w:cs="Arial"/>
        </w:rPr>
        <w:t>manifestação do Ministério Público de Contas;</w:t>
      </w:r>
    </w:p>
    <w:p w14:paraId="179F7D73" w14:textId="77777777" w:rsidR="00E84C01" w:rsidRPr="002514A8" w:rsidRDefault="000625B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V - </w:t>
      </w:r>
      <w:r w:rsidR="006A3318" w:rsidRPr="002514A8">
        <w:rPr>
          <w:rFonts w:eastAsia="Arial" w:cs="Arial"/>
        </w:rPr>
        <w:t>elaboração da Proposta de Parecer Prévio do Relator</w:t>
      </w:r>
      <w:r w:rsidR="00E84C01" w:rsidRPr="002514A8">
        <w:rPr>
          <w:rFonts w:eastAsia="Arial" w:cs="Arial"/>
        </w:rPr>
        <w:t>;</w:t>
      </w:r>
    </w:p>
    <w:p w14:paraId="5C9C5E19" w14:textId="77777777" w:rsidR="006A3318" w:rsidRPr="002514A8" w:rsidRDefault="00E84C01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VI </w:t>
      </w:r>
      <w:r w:rsidR="00F1085D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</w:t>
      </w:r>
      <w:r w:rsidR="00F1085D" w:rsidRPr="002514A8">
        <w:rPr>
          <w:rFonts w:eastAsia="Arial" w:cs="Arial"/>
        </w:rPr>
        <w:t xml:space="preserve">emissão do </w:t>
      </w:r>
      <w:r w:rsidRPr="002514A8">
        <w:rPr>
          <w:rFonts w:eastAsia="Arial" w:cs="Arial"/>
        </w:rPr>
        <w:t xml:space="preserve">Parecer Prévio </w:t>
      </w:r>
      <w:r w:rsidR="006A3318" w:rsidRPr="002514A8">
        <w:rPr>
          <w:rFonts w:eastAsia="Arial" w:cs="Arial"/>
        </w:rPr>
        <w:t>por uma das Câmaras.</w:t>
      </w:r>
    </w:p>
    <w:p w14:paraId="75D2BD32" w14:textId="77777777" w:rsidR="009E1C33" w:rsidRPr="002514A8" w:rsidRDefault="002A0EA7" w:rsidP="00CE423B">
      <w:pPr>
        <w:pStyle w:val="Ttulo1"/>
        <w:spacing w:after="0"/>
        <w:rPr>
          <w:rFonts w:eastAsia="Arial" w:cs="Arial"/>
        </w:rPr>
      </w:pPr>
      <w:bookmarkStart w:id="10" w:name="_Toc103326101"/>
      <w:bookmarkStart w:id="11" w:name="_Toc104385365"/>
      <w:bookmarkStart w:id="12" w:name="_Toc108448536"/>
      <w:r w:rsidRPr="002514A8">
        <w:rPr>
          <w:rFonts w:eastAsia="Arial" w:cs="Arial"/>
        </w:rPr>
        <w:t>CAPÍTULO II</w:t>
      </w:r>
      <w:bookmarkEnd w:id="10"/>
      <w:bookmarkEnd w:id="11"/>
      <w:bookmarkEnd w:id="12"/>
    </w:p>
    <w:p w14:paraId="30B11862" w14:textId="77777777" w:rsidR="00AF3DA2" w:rsidRPr="002514A8" w:rsidRDefault="002A0EA7" w:rsidP="00BE44CA">
      <w:pPr>
        <w:pStyle w:val="Ttulo1"/>
        <w:spacing w:before="0" w:after="0"/>
        <w:rPr>
          <w:rFonts w:eastAsia="Arial" w:cs="Arial"/>
        </w:rPr>
      </w:pPr>
      <w:bookmarkStart w:id="13" w:name="_Toc103326102"/>
      <w:bookmarkStart w:id="14" w:name="_Toc104385366"/>
      <w:bookmarkStart w:id="15" w:name="_Toc108448537"/>
      <w:r w:rsidRPr="002514A8">
        <w:rPr>
          <w:rFonts w:eastAsia="Arial" w:cs="Arial"/>
        </w:rPr>
        <w:t xml:space="preserve">DA </w:t>
      </w:r>
      <w:r w:rsidR="008C2C4A" w:rsidRPr="002514A8">
        <w:rPr>
          <w:rFonts w:eastAsia="Arial" w:cs="Arial"/>
        </w:rPr>
        <w:t>PRESTAÇÃO DE CONTAS</w:t>
      </w:r>
      <w:bookmarkEnd w:id="13"/>
      <w:bookmarkEnd w:id="14"/>
      <w:bookmarkEnd w:id="15"/>
    </w:p>
    <w:p w14:paraId="15012CC3" w14:textId="77777777" w:rsidR="009E1C33" w:rsidRPr="002514A8" w:rsidRDefault="002A1AB0" w:rsidP="00CE423B">
      <w:pPr>
        <w:pStyle w:val="Ttulo2"/>
        <w:spacing w:after="0"/>
        <w:rPr>
          <w:rFonts w:eastAsia="Arial" w:cs="Arial"/>
        </w:rPr>
      </w:pPr>
      <w:bookmarkStart w:id="16" w:name="_Toc103326103"/>
      <w:bookmarkStart w:id="17" w:name="_Toc104385367"/>
      <w:bookmarkStart w:id="18" w:name="_Toc108448538"/>
      <w:r w:rsidRPr="002514A8">
        <w:rPr>
          <w:rFonts w:eastAsia="Arial" w:cs="Arial"/>
        </w:rPr>
        <w:t>Seção</w:t>
      </w:r>
      <w:r w:rsidR="002A0EA7" w:rsidRPr="002514A8">
        <w:rPr>
          <w:rFonts w:eastAsia="Arial" w:cs="Arial"/>
        </w:rPr>
        <w:t xml:space="preserve"> I</w:t>
      </w:r>
      <w:bookmarkEnd w:id="16"/>
      <w:bookmarkEnd w:id="17"/>
      <w:bookmarkEnd w:id="18"/>
    </w:p>
    <w:p w14:paraId="691F016A" w14:textId="77777777" w:rsidR="002A0EA7" w:rsidRPr="002514A8" w:rsidRDefault="002A1AB0" w:rsidP="00BE44CA">
      <w:pPr>
        <w:pStyle w:val="Ttulo2"/>
        <w:spacing w:before="0" w:after="240"/>
        <w:rPr>
          <w:rFonts w:eastAsia="Arial" w:cs="Arial"/>
        </w:rPr>
      </w:pPr>
      <w:bookmarkStart w:id="19" w:name="_Toc103326104"/>
      <w:bookmarkStart w:id="20" w:name="_Toc104385368"/>
      <w:bookmarkStart w:id="21" w:name="_Toc108448539"/>
      <w:r w:rsidRPr="002514A8">
        <w:rPr>
          <w:rFonts w:eastAsia="Arial" w:cs="Arial"/>
        </w:rPr>
        <w:t>Da Composição da Prestação de Contas</w:t>
      </w:r>
      <w:bookmarkEnd w:id="19"/>
      <w:bookmarkEnd w:id="20"/>
      <w:bookmarkEnd w:id="21"/>
    </w:p>
    <w:p w14:paraId="658631C6" w14:textId="77777777" w:rsidR="002A0EA7" w:rsidRPr="002514A8" w:rsidRDefault="008E5ED9" w:rsidP="002A1AB0">
      <w:pPr>
        <w:rPr>
          <w:rFonts w:eastAsia="Arial" w:cs="Arial"/>
        </w:rPr>
      </w:pPr>
      <w:bookmarkStart w:id="22" w:name="_Ref98142363"/>
      <w:r w:rsidRPr="002514A8">
        <w:rPr>
          <w:rFonts w:eastAsia="Arial" w:cs="Arial"/>
          <w:b/>
          <w:bCs/>
        </w:rPr>
        <w:t xml:space="preserve">Art. 5º </w:t>
      </w:r>
      <w:r w:rsidR="00827C34" w:rsidRPr="002514A8">
        <w:rPr>
          <w:rFonts w:eastAsia="Arial" w:cs="Arial"/>
        </w:rPr>
        <w:t>C</w:t>
      </w:r>
      <w:r w:rsidR="00FA6F92" w:rsidRPr="002514A8">
        <w:rPr>
          <w:rFonts w:eastAsia="Arial" w:cs="Arial"/>
        </w:rPr>
        <w:t xml:space="preserve">ompõem a </w:t>
      </w:r>
      <w:r w:rsidR="00F97AB5" w:rsidRPr="002514A8">
        <w:rPr>
          <w:rFonts w:eastAsia="Arial" w:cs="Arial"/>
        </w:rPr>
        <w:t>p</w:t>
      </w:r>
      <w:r w:rsidR="008C2C4A" w:rsidRPr="002514A8">
        <w:rPr>
          <w:rFonts w:eastAsia="Arial" w:cs="Arial"/>
        </w:rPr>
        <w:t xml:space="preserve">restação de </w:t>
      </w:r>
      <w:r w:rsidR="00F97AB5" w:rsidRPr="002514A8">
        <w:rPr>
          <w:rFonts w:eastAsia="Arial" w:cs="Arial"/>
        </w:rPr>
        <w:t>c</w:t>
      </w:r>
      <w:r w:rsidR="008C2C4A" w:rsidRPr="002514A8">
        <w:rPr>
          <w:rFonts w:eastAsia="Arial" w:cs="Arial"/>
        </w:rPr>
        <w:t>ontas</w:t>
      </w:r>
      <w:r w:rsidR="00FA6F92" w:rsidRPr="002514A8">
        <w:rPr>
          <w:rFonts w:eastAsia="Arial" w:cs="Arial"/>
        </w:rPr>
        <w:t xml:space="preserve"> e devem ser encaminhados ao Tribunal de Contas, nos termos do</w:t>
      </w:r>
      <w:r w:rsidR="00250E9F" w:rsidRPr="002514A8">
        <w:rPr>
          <w:rFonts w:eastAsia="Arial" w:cs="Arial"/>
        </w:rPr>
        <w:t xml:space="preserve"> § 1º do</w:t>
      </w:r>
      <w:r w:rsidR="00FA6F92" w:rsidRPr="002514A8">
        <w:rPr>
          <w:rFonts w:eastAsia="Arial" w:cs="Arial"/>
        </w:rPr>
        <w:t xml:space="preserve"> art. 216 do Regimento Interno:</w:t>
      </w:r>
      <w:bookmarkEnd w:id="22"/>
    </w:p>
    <w:p w14:paraId="683052D7" w14:textId="0D792109" w:rsidR="002A0EA7" w:rsidRPr="002514A8" w:rsidRDefault="003C7F1B" w:rsidP="40245F6F">
      <w:pPr>
        <w:rPr>
          <w:rFonts w:eastAsia="Arial" w:cs="Arial"/>
        </w:rPr>
      </w:pPr>
      <w:r w:rsidRPr="002514A8">
        <w:rPr>
          <w:rFonts w:eastAsia="Arial" w:cs="Arial"/>
        </w:rPr>
        <w:t>I -</w:t>
      </w:r>
      <w:r w:rsidR="004C6457" w:rsidRPr="002514A8">
        <w:rPr>
          <w:rFonts w:eastAsia="Arial" w:cs="Arial"/>
        </w:rPr>
        <w:t xml:space="preserve"> os</w:t>
      </w:r>
      <w:r w:rsidRPr="002514A8">
        <w:rPr>
          <w:rFonts w:eastAsia="Arial" w:cs="Arial"/>
        </w:rPr>
        <w:t xml:space="preserve"> </w:t>
      </w:r>
      <w:r w:rsidR="00FA6F92" w:rsidRPr="002514A8">
        <w:rPr>
          <w:rFonts w:eastAsia="Arial" w:cs="Arial"/>
        </w:rPr>
        <w:t xml:space="preserve">dados </w:t>
      </w:r>
      <w:r w:rsidR="00D952A2" w:rsidRPr="002514A8">
        <w:rPr>
          <w:rFonts w:eastAsia="Arial" w:cs="Arial"/>
        </w:rPr>
        <w:t>abrangidos</w:t>
      </w:r>
      <w:r w:rsidR="0096593E" w:rsidRPr="002514A8">
        <w:rPr>
          <w:rFonts w:eastAsia="Arial" w:cs="Arial"/>
        </w:rPr>
        <w:t xml:space="preserve"> pelo</w:t>
      </w:r>
      <w:r w:rsidR="00FA6F92" w:rsidRPr="002514A8">
        <w:rPr>
          <w:rFonts w:eastAsia="Arial" w:cs="Arial"/>
        </w:rPr>
        <w:t>s sistemas eletrônicos do Tribunal de Contas</w:t>
      </w:r>
      <w:r w:rsidR="00FC75E8" w:rsidRPr="002514A8">
        <w:rPr>
          <w:rFonts w:eastAsia="Arial" w:cs="Arial"/>
        </w:rPr>
        <w:t>,</w:t>
      </w:r>
      <w:r w:rsidR="00FA6F92" w:rsidRPr="002514A8">
        <w:rPr>
          <w:rFonts w:eastAsia="Arial" w:cs="Arial"/>
        </w:rPr>
        <w:t xml:space="preserve"> na forma do art. 1º e</w:t>
      </w:r>
      <w:r w:rsidR="002E1D35" w:rsidRPr="002514A8">
        <w:rPr>
          <w:rFonts w:eastAsia="Arial" w:cs="Arial"/>
        </w:rPr>
        <w:t xml:space="preserve"> do art.</w:t>
      </w:r>
      <w:r w:rsidR="00FA6F92" w:rsidRPr="002514A8">
        <w:rPr>
          <w:rFonts w:eastAsia="Arial" w:cs="Arial"/>
        </w:rPr>
        <w:t xml:space="preserve"> 2º da </w:t>
      </w:r>
      <w:hyperlink r:id="rId12" w:history="1">
        <w:r w:rsidR="00FA6F92" w:rsidRPr="003567CF">
          <w:rPr>
            <w:rStyle w:val="Hyperlink"/>
            <w:rFonts w:eastAsia="Arial" w:cs="Arial"/>
          </w:rPr>
          <w:t>Instrução Normativa nº 58, de 09 de junho de 2011</w:t>
        </w:r>
      </w:hyperlink>
      <w:r w:rsidR="0032635A" w:rsidRPr="002514A8">
        <w:rPr>
          <w:rFonts w:eastAsia="Arial" w:cs="Arial"/>
        </w:rPr>
        <w:t>;</w:t>
      </w:r>
    </w:p>
    <w:p w14:paraId="20E7011C" w14:textId="77777777" w:rsidR="002A0EA7" w:rsidRPr="002514A8" w:rsidRDefault="00D93C7F" w:rsidP="40245F6F">
      <w:pPr>
        <w:rPr>
          <w:rFonts w:eastAsia="Arial" w:cs="Arial"/>
        </w:rPr>
      </w:pPr>
      <w:r w:rsidRPr="002514A8">
        <w:rPr>
          <w:rFonts w:eastAsia="Arial" w:cs="Arial"/>
        </w:rPr>
        <w:t>II -</w:t>
      </w:r>
      <w:r w:rsidR="004850DE" w:rsidRPr="002514A8">
        <w:rPr>
          <w:rFonts w:eastAsia="Arial" w:cs="Arial"/>
        </w:rPr>
        <w:t xml:space="preserve"> as</w:t>
      </w:r>
      <w:r w:rsidR="002173FF" w:rsidRPr="002514A8">
        <w:rPr>
          <w:rFonts w:eastAsia="Arial" w:cs="Arial"/>
        </w:rPr>
        <w:t xml:space="preserve"> </w:t>
      </w:r>
      <w:r w:rsidR="00687F6D" w:rsidRPr="002514A8">
        <w:rPr>
          <w:rFonts w:eastAsia="Arial" w:cs="Arial"/>
        </w:rPr>
        <w:t>respostas</w:t>
      </w:r>
      <w:r w:rsidR="00FA6F92" w:rsidRPr="002514A8">
        <w:rPr>
          <w:rFonts w:eastAsia="Arial" w:cs="Arial"/>
        </w:rPr>
        <w:t xml:space="preserve"> aos formulários eletrônicos </w:t>
      </w:r>
      <w:r w:rsidR="00C86C1A" w:rsidRPr="002514A8">
        <w:rPr>
          <w:rFonts w:eastAsia="Arial" w:cs="Arial"/>
        </w:rPr>
        <w:t>referidos n</w:t>
      </w:r>
      <w:r w:rsidR="00FA6F92" w:rsidRPr="002514A8">
        <w:rPr>
          <w:rFonts w:eastAsia="Arial" w:cs="Arial"/>
        </w:rPr>
        <w:t>a</w:t>
      </w:r>
      <w:r w:rsidR="002C00DD" w:rsidRPr="002514A8">
        <w:rPr>
          <w:rFonts w:eastAsia="Arial" w:cs="Arial"/>
        </w:rPr>
        <w:t xml:space="preserve"> </w:t>
      </w:r>
      <w:r w:rsidR="00C02657" w:rsidRPr="002514A8">
        <w:rPr>
          <w:rFonts w:eastAsia="Arial" w:cs="Arial"/>
        </w:rPr>
        <w:t xml:space="preserve">subseção II </w:t>
      </w:r>
      <w:r w:rsidR="00451BE6" w:rsidRPr="002514A8">
        <w:rPr>
          <w:rFonts w:eastAsia="Arial" w:cs="Arial"/>
        </w:rPr>
        <w:t xml:space="preserve">da seção I </w:t>
      </w:r>
      <w:r w:rsidR="00FA6F92" w:rsidRPr="002514A8">
        <w:rPr>
          <w:rFonts w:eastAsia="Arial" w:cs="Arial"/>
        </w:rPr>
        <w:t>des</w:t>
      </w:r>
      <w:r w:rsidR="002636FB" w:rsidRPr="002514A8">
        <w:rPr>
          <w:rFonts w:eastAsia="Arial" w:cs="Arial"/>
        </w:rPr>
        <w:t xml:space="preserve">te </w:t>
      </w:r>
      <w:r w:rsidR="00C02657" w:rsidRPr="002514A8">
        <w:rPr>
          <w:rFonts w:eastAsia="Arial" w:cs="Arial"/>
        </w:rPr>
        <w:t>c</w:t>
      </w:r>
      <w:r w:rsidR="002636FB" w:rsidRPr="002514A8">
        <w:rPr>
          <w:rFonts w:eastAsia="Arial" w:cs="Arial"/>
        </w:rPr>
        <w:t>apítulo</w:t>
      </w:r>
      <w:r w:rsidR="0032635A" w:rsidRPr="002514A8">
        <w:rPr>
          <w:rFonts w:eastAsia="Arial" w:cs="Arial"/>
        </w:rPr>
        <w:t>;</w:t>
      </w:r>
    </w:p>
    <w:p w14:paraId="59226470" w14:textId="77777777" w:rsidR="00CF6CF9" w:rsidRPr="002514A8" w:rsidRDefault="00D93C7F" w:rsidP="40245F6F">
      <w:pPr>
        <w:rPr>
          <w:rFonts w:eastAsia="Arial" w:cs="Arial"/>
        </w:rPr>
      </w:pPr>
      <w:r w:rsidRPr="002514A8">
        <w:rPr>
          <w:rFonts w:eastAsia="Arial" w:cs="Arial"/>
        </w:rPr>
        <w:t xml:space="preserve">III </w:t>
      </w:r>
      <w:r w:rsidR="004850DE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</w:t>
      </w:r>
      <w:r w:rsidR="004850DE" w:rsidRPr="002514A8">
        <w:rPr>
          <w:rFonts w:eastAsia="Arial" w:cs="Arial"/>
        </w:rPr>
        <w:t xml:space="preserve">os </w:t>
      </w:r>
      <w:r w:rsidR="00CF6CF9" w:rsidRPr="002514A8">
        <w:rPr>
          <w:rFonts w:eastAsia="Arial" w:cs="Arial"/>
        </w:rPr>
        <w:t>documentos</w:t>
      </w:r>
      <w:r w:rsidR="000466B5" w:rsidRPr="002514A8">
        <w:rPr>
          <w:rFonts w:eastAsia="Arial" w:cs="Arial"/>
        </w:rPr>
        <w:t xml:space="preserve"> de que trata </w:t>
      </w:r>
      <w:r w:rsidR="00990A95" w:rsidRPr="002514A8">
        <w:rPr>
          <w:rFonts w:eastAsia="Arial" w:cs="Arial"/>
        </w:rPr>
        <w:t>a</w:t>
      </w:r>
      <w:r w:rsidR="00C02657" w:rsidRPr="002514A8">
        <w:rPr>
          <w:rFonts w:eastAsia="Arial" w:cs="Arial"/>
        </w:rPr>
        <w:t xml:space="preserve"> subseção III</w:t>
      </w:r>
      <w:r w:rsidR="00451BE6" w:rsidRPr="002514A8">
        <w:rPr>
          <w:rFonts w:eastAsia="Arial" w:cs="Arial"/>
        </w:rPr>
        <w:t xml:space="preserve"> da seção I</w:t>
      </w:r>
      <w:r w:rsidR="00990A95" w:rsidRPr="002514A8">
        <w:rPr>
          <w:rFonts w:eastAsia="Arial" w:cs="Arial"/>
        </w:rPr>
        <w:t xml:space="preserve"> deste </w:t>
      </w:r>
      <w:r w:rsidR="00C02657" w:rsidRPr="002514A8">
        <w:rPr>
          <w:rFonts w:eastAsia="Arial" w:cs="Arial"/>
        </w:rPr>
        <w:t>c</w:t>
      </w:r>
      <w:r w:rsidR="00990A95" w:rsidRPr="002514A8">
        <w:rPr>
          <w:rFonts w:eastAsia="Arial" w:cs="Arial"/>
        </w:rPr>
        <w:t>apítulo.</w:t>
      </w:r>
    </w:p>
    <w:p w14:paraId="177411A7" w14:textId="77777777" w:rsidR="009E1C33" w:rsidRPr="002514A8" w:rsidRDefault="002A1AB0" w:rsidP="00CE423B">
      <w:pPr>
        <w:pStyle w:val="Ttulo3"/>
        <w:spacing w:after="0"/>
        <w:rPr>
          <w:rFonts w:eastAsia="Arial" w:cs="Arial"/>
        </w:rPr>
      </w:pPr>
      <w:bookmarkStart w:id="23" w:name="_Toc103326105"/>
      <w:bookmarkStart w:id="24" w:name="_Toc104385369"/>
      <w:bookmarkStart w:id="25" w:name="_Toc108448540"/>
      <w:r w:rsidRPr="002514A8">
        <w:rPr>
          <w:rFonts w:eastAsia="Arial" w:cs="Arial"/>
        </w:rPr>
        <w:lastRenderedPageBreak/>
        <w:t>Subseção</w:t>
      </w:r>
      <w:r w:rsidR="002A0EA7" w:rsidRPr="002514A8">
        <w:rPr>
          <w:rFonts w:eastAsia="Arial" w:cs="Arial"/>
        </w:rPr>
        <w:t xml:space="preserve"> I</w:t>
      </w:r>
      <w:bookmarkEnd w:id="23"/>
      <w:bookmarkEnd w:id="24"/>
      <w:bookmarkEnd w:id="25"/>
    </w:p>
    <w:p w14:paraId="5AD5FBE6" w14:textId="77777777" w:rsidR="00161174" w:rsidRPr="002514A8" w:rsidRDefault="002A1AB0" w:rsidP="00BE44CA">
      <w:pPr>
        <w:pStyle w:val="Ttulo3"/>
        <w:spacing w:before="0" w:after="240"/>
        <w:rPr>
          <w:rFonts w:eastAsia="Arial" w:cs="Arial"/>
        </w:rPr>
      </w:pPr>
      <w:bookmarkStart w:id="26" w:name="_Toc103326106"/>
      <w:bookmarkStart w:id="27" w:name="_Toc104385370"/>
      <w:bookmarkStart w:id="28" w:name="_Toc108448541"/>
      <w:r w:rsidRPr="002514A8">
        <w:rPr>
          <w:rFonts w:eastAsia="Arial" w:cs="Arial"/>
        </w:rPr>
        <w:t>Dos Dados Coletados pelos Sistemas Eletrônicos</w:t>
      </w:r>
      <w:bookmarkEnd w:id="26"/>
      <w:bookmarkEnd w:id="27"/>
      <w:bookmarkEnd w:id="28"/>
    </w:p>
    <w:p w14:paraId="5E2D844A" w14:textId="77777777" w:rsidR="00DB5023" w:rsidRPr="002514A8" w:rsidRDefault="008E5ED9" w:rsidP="00C2083B">
      <w:pPr>
        <w:spacing w:after="0"/>
        <w:rPr>
          <w:rFonts w:eastAsia="Arial" w:cs="Arial"/>
        </w:rPr>
      </w:pPr>
      <w:bookmarkStart w:id="29" w:name="_Ref98147318"/>
      <w:r w:rsidRPr="002514A8">
        <w:rPr>
          <w:rFonts w:eastAsia="Arial" w:cs="Arial"/>
          <w:b/>
          <w:bCs/>
        </w:rPr>
        <w:t xml:space="preserve">Art. 6º </w:t>
      </w:r>
      <w:r w:rsidR="00E2583E" w:rsidRPr="002514A8">
        <w:rPr>
          <w:rFonts w:eastAsia="Arial" w:cs="Arial"/>
        </w:rPr>
        <w:t xml:space="preserve">A coleta de dados </w:t>
      </w:r>
      <w:r w:rsidR="007D626A" w:rsidRPr="002514A8">
        <w:rPr>
          <w:rFonts w:eastAsia="Arial" w:cs="Arial"/>
        </w:rPr>
        <w:t>prevista n</w:t>
      </w:r>
      <w:r w:rsidR="00E2583E" w:rsidRPr="002514A8">
        <w:rPr>
          <w:rFonts w:eastAsia="Arial" w:cs="Arial"/>
        </w:rPr>
        <w:t>o</w:t>
      </w:r>
      <w:r w:rsidR="007D626A" w:rsidRPr="002514A8">
        <w:rPr>
          <w:rFonts w:eastAsia="Arial" w:cs="Arial"/>
        </w:rPr>
        <w:t xml:space="preserve"> inciso I do</w:t>
      </w:r>
      <w:r w:rsidRPr="002514A8">
        <w:rPr>
          <w:rFonts w:eastAsia="Arial" w:cs="Arial"/>
        </w:rPr>
        <w:t xml:space="preserve"> art. 5º </w:t>
      </w:r>
      <w:r w:rsidR="00E2583E" w:rsidRPr="002514A8">
        <w:rPr>
          <w:rFonts w:eastAsia="Arial" w:cs="Arial"/>
        </w:rPr>
        <w:t xml:space="preserve">será feita por meio das inclusões </w:t>
      </w:r>
      <w:r w:rsidR="004C6457" w:rsidRPr="002514A8">
        <w:rPr>
          <w:rFonts w:eastAsia="Arial" w:cs="Arial"/>
        </w:rPr>
        <w:t>no</w:t>
      </w:r>
      <w:r w:rsidR="00E2583E" w:rsidRPr="002514A8">
        <w:rPr>
          <w:rFonts w:eastAsia="Arial" w:cs="Arial"/>
        </w:rPr>
        <w:t xml:space="preserve"> Sistema de Informações Municipais - Acompanhamento Mensal (SIM-AM) por meio da internet, no sítio do Tribunal</w:t>
      </w:r>
      <w:r w:rsidR="002D7D22" w:rsidRPr="002514A8">
        <w:rPr>
          <w:rFonts w:eastAsia="Arial" w:cs="Arial"/>
        </w:rPr>
        <w:t xml:space="preserve"> de Contas</w:t>
      </w:r>
      <w:r w:rsidR="00E2583E" w:rsidRPr="002514A8">
        <w:rPr>
          <w:rFonts w:eastAsia="Arial" w:cs="Arial"/>
        </w:rPr>
        <w:t xml:space="preserve">, e abrangerá os elementos suficientes para a análise da gestão fiscal e do acompanhamento do cumprimento de dispositivos da Constituição Federal e da </w:t>
      </w:r>
      <w:r w:rsidR="00DC5354" w:rsidRPr="002514A8">
        <w:rPr>
          <w:rFonts w:eastAsia="Arial" w:cs="Arial"/>
        </w:rPr>
        <w:t>Lei Complementar Federal nº 101, de 4 de maio de 200</w:t>
      </w:r>
      <w:r w:rsidR="008E3D2A" w:rsidRPr="002514A8">
        <w:rPr>
          <w:rFonts w:eastAsia="Arial" w:cs="Arial"/>
        </w:rPr>
        <w:t>0</w:t>
      </w:r>
      <w:r w:rsidR="00DC5354" w:rsidRPr="002514A8">
        <w:rPr>
          <w:rFonts w:eastAsia="Arial" w:cs="Arial"/>
        </w:rPr>
        <w:t xml:space="preserve"> (L</w:t>
      </w:r>
      <w:r w:rsidR="00E2583E" w:rsidRPr="002514A8">
        <w:rPr>
          <w:rFonts w:eastAsia="Arial" w:cs="Arial"/>
        </w:rPr>
        <w:t xml:space="preserve">ei </w:t>
      </w:r>
      <w:r w:rsidR="00E84C01" w:rsidRPr="002514A8">
        <w:rPr>
          <w:rFonts w:eastAsia="Arial" w:cs="Arial"/>
        </w:rPr>
        <w:t xml:space="preserve">de Responsabilidade </w:t>
      </w:r>
      <w:r w:rsidR="00E2583E" w:rsidRPr="002514A8">
        <w:rPr>
          <w:rFonts w:eastAsia="Arial" w:cs="Arial"/>
        </w:rPr>
        <w:t>Fiscal</w:t>
      </w:r>
      <w:r w:rsidR="00DC5354" w:rsidRPr="002514A8">
        <w:rPr>
          <w:rFonts w:eastAsia="Arial" w:cs="Arial"/>
        </w:rPr>
        <w:t>)</w:t>
      </w:r>
      <w:r w:rsidR="00E2583E" w:rsidRPr="002514A8">
        <w:rPr>
          <w:rFonts w:eastAsia="Arial" w:cs="Arial"/>
        </w:rPr>
        <w:t>, além de outros dados que possam ser requeridos para adequação à dinâmica do controle e dos procedimentos de fiscalização adotados pelo Tribunal.</w:t>
      </w:r>
      <w:bookmarkEnd w:id="29"/>
    </w:p>
    <w:p w14:paraId="1338EDA4" w14:textId="77777777" w:rsidR="00F552EB" w:rsidRPr="002514A8" w:rsidRDefault="00E2583E" w:rsidP="00DC5354">
      <w:pPr>
        <w:rPr>
          <w:rFonts w:eastAsia="Arial" w:cs="Arial"/>
        </w:rPr>
      </w:pPr>
      <w:r w:rsidRPr="002514A8">
        <w:rPr>
          <w:rFonts w:eastAsia="Arial" w:cs="Arial"/>
        </w:rPr>
        <w:t xml:space="preserve">Parágrafo único. O prazo para o envio </w:t>
      </w:r>
      <w:r w:rsidR="00D85257" w:rsidRPr="002514A8">
        <w:rPr>
          <w:rFonts w:eastAsia="Arial" w:cs="Arial"/>
        </w:rPr>
        <w:t>dos dados referidos neste artigo</w:t>
      </w:r>
      <w:r w:rsidR="00464CC6" w:rsidRPr="002514A8">
        <w:rPr>
          <w:rFonts w:eastAsia="Arial" w:cs="Arial"/>
        </w:rPr>
        <w:t xml:space="preserve"> será estabelecido na i</w:t>
      </w:r>
      <w:r w:rsidRPr="002514A8">
        <w:rPr>
          <w:rFonts w:eastAsia="Arial" w:cs="Arial"/>
        </w:rPr>
        <w:t xml:space="preserve">nstrução </w:t>
      </w:r>
      <w:r w:rsidR="00464CC6" w:rsidRPr="002514A8">
        <w:rPr>
          <w:rFonts w:eastAsia="Arial" w:cs="Arial"/>
        </w:rPr>
        <w:t>n</w:t>
      </w:r>
      <w:r w:rsidRPr="002514A8">
        <w:rPr>
          <w:rFonts w:eastAsia="Arial" w:cs="Arial"/>
        </w:rPr>
        <w:t>ormativa de que trata o art. 216-A do Regimento Interno</w:t>
      </w:r>
      <w:r w:rsidR="004753C6" w:rsidRPr="002514A8">
        <w:rPr>
          <w:rFonts w:eastAsia="Arial" w:cs="Arial"/>
        </w:rPr>
        <w:t xml:space="preserve"> (Agenda de Obrigações Municipais)</w:t>
      </w:r>
      <w:r w:rsidRPr="002514A8">
        <w:rPr>
          <w:rFonts w:eastAsia="Arial" w:cs="Arial"/>
        </w:rPr>
        <w:t>.</w:t>
      </w:r>
    </w:p>
    <w:p w14:paraId="0A016F7E" w14:textId="77777777" w:rsidR="009E1C33" w:rsidRPr="002514A8" w:rsidRDefault="002A1AB0" w:rsidP="00CE423B">
      <w:pPr>
        <w:pStyle w:val="Ttulo3"/>
        <w:spacing w:after="0"/>
        <w:rPr>
          <w:rFonts w:eastAsia="Arial" w:cs="Arial"/>
        </w:rPr>
      </w:pPr>
      <w:bookmarkStart w:id="30" w:name="_Ref98142176"/>
      <w:bookmarkStart w:id="31" w:name="_Toc103326107"/>
      <w:bookmarkStart w:id="32" w:name="_Toc104385371"/>
      <w:bookmarkStart w:id="33" w:name="_Toc108448542"/>
      <w:r w:rsidRPr="002514A8">
        <w:rPr>
          <w:rFonts w:eastAsia="Arial" w:cs="Arial"/>
        </w:rPr>
        <w:t>Subseção I</w:t>
      </w:r>
      <w:bookmarkEnd w:id="30"/>
      <w:bookmarkEnd w:id="31"/>
      <w:r w:rsidRPr="002514A8">
        <w:rPr>
          <w:rFonts w:eastAsia="Arial" w:cs="Arial"/>
        </w:rPr>
        <w:t>I</w:t>
      </w:r>
      <w:bookmarkEnd w:id="32"/>
      <w:bookmarkEnd w:id="33"/>
    </w:p>
    <w:p w14:paraId="741EF01D" w14:textId="77777777" w:rsidR="002A0EA7" w:rsidRPr="002514A8" w:rsidRDefault="002A1AB0" w:rsidP="00BE44CA">
      <w:pPr>
        <w:pStyle w:val="Ttulo3"/>
        <w:spacing w:before="0" w:after="240"/>
        <w:rPr>
          <w:rFonts w:eastAsia="Arial" w:cs="Arial"/>
        </w:rPr>
      </w:pPr>
      <w:bookmarkStart w:id="34" w:name="_Toc103326108"/>
      <w:bookmarkStart w:id="35" w:name="_Toc104385372"/>
      <w:bookmarkStart w:id="36" w:name="_Toc108448543"/>
      <w:r w:rsidRPr="002514A8">
        <w:rPr>
          <w:rFonts w:eastAsia="Arial" w:cs="Arial"/>
        </w:rPr>
        <w:t>Dos Formulários Eletrônicos</w:t>
      </w:r>
      <w:bookmarkEnd w:id="34"/>
      <w:bookmarkEnd w:id="35"/>
      <w:bookmarkEnd w:id="36"/>
    </w:p>
    <w:p w14:paraId="61EE8357" w14:textId="77777777" w:rsidR="00E33F99" w:rsidRPr="002514A8" w:rsidRDefault="008E5ED9" w:rsidP="00C2083B">
      <w:pPr>
        <w:spacing w:after="0"/>
        <w:rPr>
          <w:rFonts w:eastAsia="Arial" w:cs="Arial"/>
        </w:rPr>
      </w:pPr>
      <w:bookmarkStart w:id="37" w:name="_Ref97905239"/>
      <w:bookmarkStart w:id="38" w:name="_Ref102653672"/>
      <w:bookmarkStart w:id="39" w:name="_Ref98143306"/>
      <w:r w:rsidRPr="002514A8">
        <w:rPr>
          <w:rFonts w:eastAsia="Arial" w:cs="Arial"/>
          <w:b/>
          <w:bCs/>
        </w:rPr>
        <w:t xml:space="preserve">Art. 7º </w:t>
      </w:r>
      <w:r w:rsidR="00E33F99" w:rsidRPr="002514A8">
        <w:rPr>
          <w:rFonts w:eastAsia="Arial" w:cs="Arial"/>
        </w:rPr>
        <w:t>Os formulários previstos no inciso II do</w:t>
      </w:r>
      <w:r w:rsidRPr="002514A8">
        <w:rPr>
          <w:rFonts w:eastAsia="Arial" w:cs="Arial"/>
        </w:rPr>
        <w:t xml:space="preserve"> art. 5º </w:t>
      </w:r>
      <w:r w:rsidR="00A847ED" w:rsidRPr="002514A8">
        <w:rPr>
          <w:rFonts w:eastAsia="Arial" w:cs="Arial"/>
        </w:rPr>
        <w:t xml:space="preserve">subsidiarão a </w:t>
      </w:r>
      <w:r w:rsidR="00E33F99" w:rsidRPr="002514A8">
        <w:rPr>
          <w:rFonts w:eastAsia="Arial" w:cs="Arial"/>
        </w:rPr>
        <w:t>avalia</w:t>
      </w:r>
      <w:r w:rsidR="00A847ED" w:rsidRPr="002514A8">
        <w:rPr>
          <w:rFonts w:eastAsia="Arial" w:cs="Arial"/>
        </w:rPr>
        <w:t>ç</w:t>
      </w:r>
      <w:r w:rsidR="00E33F99" w:rsidRPr="002514A8">
        <w:rPr>
          <w:rFonts w:eastAsia="Arial" w:cs="Arial"/>
        </w:rPr>
        <w:t xml:space="preserve">ão </w:t>
      </w:r>
      <w:bookmarkEnd w:id="37"/>
      <w:r w:rsidR="00A847ED" w:rsidRPr="002514A8">
        <w:rPr>
          <w:rFonts w:eastAsia="Arial" w:cs="Arial"/>
        </w:rPr>
        <w:t>d</w:t>
      </w:r>
      <w:r w:rsidR="00E33F99" w:rsidRPr="002514A8">
        <w:rPr>
          <w:rFonts w:eastAsia="Arial" w:cs="Arial"/>
        </w:rPr>
        <w:t>o grau de implementação de políticas públicas.</w:t>
      </w:r>
      <w:bookmarkEnd w:id="38"/>
    </w:p>
    <w:p w14:paraId="163195B9" w14:textId="77777777" w:rsidR="00111DBE" w:rsidRPr="002514A8" w:rsidRDefault="00111DBE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bookmarkStart w:id="40" w:name="_Ref97910910"/>
      <w:r w:rsidRPr="002514A8">
        <w:rPr>
          <w:rFonts w:eastAsia="Arial" w:cs="Arial"/>
        </w:rPr>
        <w:t xml:space="preserve">§ </w:t>
      </w:r>
      <w:r w:rsidR="007D5DCB" w:rsidRPr="002514A8">
        <w:rPr>
          <w:rFonts w:eastAsia="Arial" w:cs="Arial"/>
        </w:rPr>
        <w:t>1</w:t>
      </w:r>
      <w:r w:rsidRPr="002514A8">
        <w:rPr>
          <w:rFonts w:eastAsia="Arial" w:cs="Arial"/>
        </w:rPr>
        <w:t xml:space="preserve">º As áreas </w:t>
      </w:r>
      <w:r w:rsidR="00546316" w:rsidRPr="002514A8">
        <w:rPr>
          <w:rFonts w:eastAsia="Arial" w:cs="Arial"/>
        </w:rPr>
        <w:t xml:space="preserve">que serão objeto </w:t>
      </w:r>
      <w:r w:rsidRPr="002514A8">
        <w:rPr>
          <w:rFonts w:eastAsia="Arial" w:cs="Arial"/>
        </w:rPr>
        <w:t xml:space="preserve">de avaliação, bem como os demais elementos que compõem os formulários de que trata este artigo, serão definidos em </w:t>
      </w:r>
      <w:r w:rsidR="00464CC6" w:rsidRPr="002514A8">
        <w:rPr>
          <w:rFonts w:eastAsia="Arial" w:cs="Arial"/>
        </w:rPr>
        <w:t>nota técnica</w:t>
      </w:r>
      <w:r w:rsidR="00237CC6" w:rsidRPr="002514A8">
        <w:rPr>
          <w:rFonts w:eastAsia="Arial" w:cs="Arial"/>
        </w:rPr>
        <w:t>, a ser emitida nos termos do inciso IX do art. 151-A do Regimento Interno</w:t>
      </w:r>
      <w:r w:rsidRPr="002514A8">
        <w:rPr>
          <w:rFonts w:eastAsia="Arial" w:cs="Arial"/>
        </w:rPr>
        <w:t>.</w:t>
      </w:r>
    </w:p>
    <w:p w14:paraId="07498A04" w14:textId="77777777" w:rsidR="00027364" w:rsidRPr="002514A8" w:rsidRDefault="00027364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7D5DCB" w:rsidRPr="002514A8">
        <w:rPr>
          <w:rFonts w:eastAsia="Arial" w:cs="Arial"/>
        </w:rPr>
        <w:t>2</w:t>
      </w:r>
      <w:r w:rsidRPr="002514A8">
        <w:rPr>
          <w:rFonts w:eastAsia="Arial" w:cs="Arial"/>
        </w:rPr>
        <w:t>º Os formulários tratados neste artigo serão elaborados seguindo as diretrizes estabelecidas nas Normas Brasileiras de Auditoria Aplicáveis ao Setor Público (NBASP)</w:t>
      </w:r>
      <w:bookmarkEnd w:id="40"/>
      <w:r w:rsidRPr="002514A8">
        <w:rPr>
          <w:rFonts w:eastAsia="Arial" w:cs="Arial"/>
        </w:rPr>
        <w:t xml:space="preserve"> e poderão</w:t>
      </w:r>
      <w:r w:rsidR="00546316" w:rsidRPr="002514A8">
        <w:rPr>
          <w:rFonts w:eastAsia="Arial" w:cs="Arial"/>
        </w:rPr>
        <w:t xml:space="preserve"> conter </w:t>
      </w:r>
      <w:r w:rsidRPr="002514A8">
        <w:rPr>
          <w:rFonts w:eastAsia="Arial" w:cs="Arial"/>
        </w:rPr>
        <w:t>solicitação d</w:t>
      </w:r>
      <w:r w:rsidR="00546316" w:rsidRPr="002514A8">
        <w:rPr>
          <w:rFonts w:eastAsia="Arial" w:cs="Arial"/>
        </w:rPr>
        <w:t>e</w:t>
      </w:r>
      <w:r w:rsidRPr="002514A8">
        <w:rPr>
          <w:rFonts w:eastAsia="Arial" w:cs="Arial"/>
        </w:rPr>
        <w:t xml:space="preserve"> document</w:t>
      </w:r>
      <w:r w:rsidR="00546316" w:rsidRPr="002514A8">
        <w:rPr>
          <w:rFonts w:eastAsia="Arial" w:cs="Arial"/>
        </w:rPr>
        <w:t xml:space="preserve">os </w:t>
      </w:r>
      <w:r w:rsidR="007B0609" w:rsidRPr="002514A8">
        <w:rPr>
          <w:rFonts w:eastAsia="Arial" w:cs="Arial"/>
        </w:rPr>
        <w:t xml:space="preserve">que </w:t>
      </w:r>
      <w:r w:rsidR="00546316" w:rsidRPr="002514A8">
        <w:rPr>
          <w:rFonts w:eastAsia="Arial" w:cs="Arial"/>
        </w:rPr>
        <w:t>comprovem a fidedignidade d</w:t>
      </w:r>
      <w:r w:rsidR="007B0609" w:rsidRPr="002514A8">
        <w:rPr>
          <w:rFonts w:eastAsia="Arial" w:cs="Arial"/>
        </w:rPr>
        <w:t>as respostas encaminhadas, os</w:t>
      </w:r>
      <w:r w:rsidRPr="002514A8">
        <w:rPr>
          <w:rFonts w:eastAsia="Arial" w:cs="Arial"/>
        </w:rPr>
        <w:t xml:space="preserve"> quais poderão subsidiar fiscalizações específicas do Tribunal de Contas.</w:t>
      </w:r>
    </w:p>
    <w:p w14:paraId="2B406A96" w14:textId="77777777" w:rsidR="000725C3" w:rsidRPr="002514A8" w:rsidRDefault="00111DB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982935" w:rsidRPr="002514A8">
        <w:rPr>
          <w:rFonts w:eastAsia="Arial" w:cs="Arial"/>
        </w:rPr>
        <w:t>3</w:t>
      </w:r>
      <w:r w:rsidRPr="002514A8">
        <w:rPr>
          <w:rFonts w:eastAsia="Arial" w:cs="Arial"/>
        </w:rPr>
        <w:t xml:space="preserve">º </w:t>
      </w:r>
      <w:r w:rsidR="005F3E9C" w:rsidRPr="002514A8">
        <w:rPr>
          <w:rFonts w:eastAsia="Arial" w:cs="Arial"/>
        </w:rPr>
        <w:t xml:space="preserve">Visando </w:t>
      </w:r>
      <w:r w:rsidR="00AA2A8A" w:rsidRPr="002514A8">
        <w:rPr>
          <w:rFonts w:eastAsia="Arial" w:cs="Arial"/>
        </w:rPr>
        <w:t>assegurar a</w:t>
      </w:r>
      <w:r w:rsidRPr="002514A8">
        <w:rPr>
          <w:rFonts w:eastAsia="Arial" w:cs="Arial"/>
        </w:rPr>
        <w:t xml:space="preserve"> comparabilidade e a isonomia </w:t>
      </w:r>
      <w:r w:rsidR="00AA2A8A" w:rsidRPr="002514A8">
        <w:rPr>
          <w:rFonts w:eastAsia="Arial" w:cs="Arial"/>
        </w:rPr>
        <w:t xml:space="preserve">entre </w:t>
      </w:r>
      <w:r w:rsidRPr="002514A8">
        <w:rPr>
          <w:rFonts w:eastAsia="Arial" w:cs="Arial"/>
        </w:rPr>
        <w:t>a</w:t>
      </w:r>
      <w:r w:rsidR="00AA2A8A" w:rsidRPr="002514A8">
        <w:rPr>
          <w:rFonts w:eastAsia="Arial" w:cs="Arial"/>
        </w:rPr>
        <w:t>s</w:t>
      </w:r>
      <w:r w:rsidRPr="002514A8">
        <w:rPr>
          <w:rFonts w:eastAsia="Arial" w:cs="Arial"/>
        </w:rPr>
        <w:t xml:space="preserve"> </w:t>
      </w:r>
      <w:r w:rsidR="00025AFA" w:rsidRPr="002514A8">
        <w:rPr>
          <w:rFonts w:eastAsia="Arial" w:cs="Arial"/>
        </w:rPr>
        <w:t>prestações</w:t>
      </w:r>
      <w:r w:rsidR="00AA2A8A" w:rsidRPr="002514A8">
        <w:rPr>
          <w:rFonts w:eastAsia="Arial" w:cs="Arial"/>
        </w:rPr>
        <w:t xml:space="preserve"> de contas</w:t>
      </w:r>
      <w:r w:rsidRPr="002514A8">
        <w:rPr>
          <w:rFonts w:eastAsia="Arial" w:cs="Arial"/>
        </w:rPr>
        <w:t xml:space="preserve">, </w:t>
      </w:r>
      <w:r w:rsidR="007B5791" w:rsidRPr="002514A8">
        <w:rPr>
          <w:rFonts w:eastAsia="Arial" w:cs="Arial"/>
        </w:rPr>
        <w:t>será definido</w:t>
      </w:r>
      <w:r w:rsidR="00B143BD" w:rsidRPr="002514A8">
        <w:rPr>
          <w:rFonts w:eastAsia="Arial" w:cs="Arial"/>
        </w:rPr>
        <w:t xml:space="preserve"> na Agenda de Obrigações Municipais</w:t>
      </w:r>
      <w:r w:rsidR="007B5791" w:rsidRPr="002514A8">
        <w:rPr>
          <w:rFonts w:eastAsia="Arial" w:cs="Arial"/>
        </w:rPr>
        <w:t xml:space="preserve"> período avaliativo </w:t>
      </w:r>
      <w:r w:rsidR="000725C3" w:rsidRPr="002514A8">
        <w:rPr>
          <w:rFonts w:eastAsia="Arial" w:cs="Arial"/>
        </w:rPr>
        <w:t>no qual os destinatários dos formulários de que trata este artigo poderão enviar suas respostas</w:t>
      </w:r>
      <w:r w:rsidR="005934C1" w:rsidRPr="002514A8">
        <w:rPr>
          <w:rFonts w:eastAsia="Arial" w:cs="Arial"/>
        </w:rPr>
        <w:t xml:space="preserve"> ao Tribunal de Contas</w:t>
      </w:r>
      <w:r w:rsidR="000725C3" w:rsidRPr="002514A8">
        <w:rPr>
          <w:rFonts w:eastAsia="Arial" w:cs="Arial"/>
        </w:rPr>
        <w:t>.</w:t>
      </w:r>
    </w:p>
    <w:p w14:paraId="6145B9A2" w14:textId="77777777" w:rsidR="00F538A0" w:rsidRDefault="00F538A0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4º O período avaliativo mencionado no § 3º deste artigo deverá </w:t>
      </w:r>
      <w:r w:rsidR="005B6460" w:rsidRPr="002514A8">
        <w:rPr>
          <w:rFonts w:eastAsia="Arial" w:cs="Arial"/>
        </w:rPr>
        <w:t xml:space="preserve">estar </w:t>
      </w:r>
      <w:r w:rsidR="00670A61" w:rsidRPr="002514A8">
        <w:rPr>
          <w:rFonts w:eastAsia="Arial" w:cs="Arial"/>
        </w:rPr>
        <w:t xml:space="preserve">compreendido </w:t>
      </w:r>
      <w:r w:rsidR="005B6460" w:rsidRPr="002514A8">
        <w:rPr>
          <w:rFonts w:eastAsia="Arial" w:cs="Arial"/>
        </w:rPr>
        <w:t>dentro do exercício de</w:t>
      </w:r>
      <w:r w:rsidR="00316EAD" w:rsidRPr="002514A8">
        <w:rPr>
          <w:rFonts w:eastAsia="Arial" w:cs="Arial"/>
        </w:rPr>
        <w:t xml:space="preserve"> competência </w:t>
      </w:r>
      <w:r w:rsidR="002216DD" w:rsidRPr="002514A8">
        <w:rPr>
          <w:rFonts w:eastAsia="Arial" w:cs="Arial"/>
        </w:rPr>
        <w:t>a que se referem as contas</w:t>
      </w:r>
      <w:r w:rsidR="008D54A2" w:rsidRPr="002514A8">
        <w:rPr>
          <w:rFonts w:eastAsia="Arial" w:cs="Arial"/>
        </w:rPr>
        <w:t xml:space="preserve">, </w:t>
      </w:r>
      <w:r w:rsidR="007B0609" w:rsidRPr="002514A8">
        <w:rPr>
          <w:rFonts w:eastAsia="Arial" w:cs="Arial"/>
        </w:rPr>
        <w:t>em observância a</w:t>
      </w:r>
      <w:r w:rsidR="008E5ED9" w:rsidRPr="002514A8">
        <w:rPr>
          <w:rFonts w:eastAsia="Arial" w:cs="Arial"/>
        </w:rPr>
        <w:t>o disposto no art. 3º.</w:t>
      </w:r>
    </w:p>
    <w:p w14:paraId="015AEF94" w14:textId="044F7751" w:rsidR="00AC046C" w:rsidRDefault="00AC046C" w:rsidP="00C2083B">
      <w:pPr>
        <w:spacing w:after="0"/>
        <w:rPr>
          <w:rFonts w:cs="Arial"/>
        </w:rPr>
      </w:pPr>
      <w:r>
        <w:t xml:space="preserve">§ 5º Em situações excepcionais, devidamente justificadas, o prazo para envio das respostas aos formulários definido na Agenda de Obrigações Municipais poderá ser prorrogado mediante Portaria da </w:t>
      </w:r>
      <w:r>
        <w:rPr>
          <w:spacing w:val="-2"/>
        </w:rPr>
        <w:t xml:space="preserve">Presidência. </w:t>
      </w:r>
      <w:bookmarkStart w:id="41" w:name="_Ref102657519"/>
      <w:r>
        <w:rPr>
          <w:rFonts w:cs="Arial"/>
          <w:color w:val="0000FF"/>
        </w:rPr>
        <w:fldChar w:fldCharType="begin"/>
      </w:r>
      <w:r>
        <w:rPr>
          <w:rFonts w:cs="Arial"/>
          <w:color w:val="0000FF"/>
        </w:rPr>
        <w:instrText>HYPERLINK "https://www1.tce.pr.gov.br/conteudo/instrucao-normativa-n%C2%BA-185-de-10-de-abril-de-2024/353865/area/249"</w:instrText>
      </w:r>
      <w:r>
        <w:rPr>
          <w:rFonts w:cs="Arial"/>
          <w:color w:val="0000FF"/>
        </w:rPr>
      </w:r>
      <w:r>
        <w:rPr>
          <w:rFonts w:cs="Arial"/>
          <w:color w:val="0000FF"/>
        </w:rPr>
        <w:fldChar w:fldCharType="separate"/>
      </w:r>
      <w:r w:rsidRPr="00AC046C">
        <w:rPr>
          <w:rStyle w:val="Hyperlink"/>
          <w:rFonts w:cs="Arial"/>
        </w:rPr>
        <w:t xml:space="preserve">(Incluído pela </w:t>
      </w:r>
      <w:r w:rsidRPr="00AC046C">
        <w:rPr>
          <w:rStyle w:val="Hyperlink"/>
        </w:rPr>
        <w:t xml:space="preserve">Instrução Normativa n. </w:t>
      </w:r>
      <w:r w:rsidR="001026B8">
        <w:rPr>
          <w:rStyle w:val="Hyperlink"/>
        </w:rPr>
        <w:t>185/2024</w:t>
      </w:r>
      <w:r w:rsidRPr="00AC046C">
        <w:rPr>
          <w:rStyle w:val="Hyperlink"/>
          <w:rFonts w:cs="Arial"/>
        </w:rPr>
        <w:t>)</w:t>
      </w:r>
      <w:r>
        <w:rPr>
          <w:rFonts w:cs="Arial"/>
          <w:color w:val="0000FF"/>
        </w:rPr>
        <w:fldChar w:fldCharType="end"/>
      </w:r>
    </w:p>
    <w:p w14:paraId="4AEF5E15" w14:textId="7909A063" w:rsidR="00CF575C" w:rsidRPr="002514A8" w:rsidRDefault="008E5ED9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8º </w:t>
      </w:r>
      <w:r w:rsidR="005E4A46" w:rsidRPr="002514A8">
        <w:rPr>
          <w:rFonts w:eastAsia="Arial" w:cs="Arial"/>
        </w:rPr>
        <w:t>O</w:t>
      </w:r>
      <w:r w:rsidR="002173FF" w:rsidRPr="002514A8">
        <w:rPr>
          <w:rFonts w:eastAsia="Arial" w:cs="Arial"/>
        </w:rPr>
        <w:t xml:space="preserve"> envio </w:t>
      </w:r>
      <w:r w:rsidR="00944FDC" w:rsidRPr="002514A8">
        <w:rPr>
          <w:rFonts w:eastAsia="Arial" w:cs="Arial"/>
        </w:rPr>
        <w:t xml:space="preserve">das </w:t>
      </w:r>
      <w:r w:rsidR="002173FF" w:rsidRPr="002514A8">
        <w:rPr>
          <w:rFonts w:eastAsia="Arial" w:cs="Arial"/>
        </w:rPr>
        <w:t xml:space="preserve">respostas aos formulários </w:t>
      </w:r>
      <w:r w:rsidR="007D626A" w:rsidRPr="002514A8">
        <w:rPr>
          <w:rFonts w:eastAsia="Arial" w:cs="Arial"/>
        </w:rPr>
        <w:t xml:space="preserve">previstos </w:t>
      </w:r>
      <w:r w:rsidR="00FC5F69" w:rsidRPr="002514A8">
        <w:rPr>
          <w:rFonts w:eastAsia="Arial" w:cs="Arial"/>
        </w:rPr>
        <w:t xml:space="preserve">nesta </w:t>
      </w:r>
      <w:r w:rsidR="00C02657" w:rsidRPr="002514A8">
        <w:rPr>
          <w:rFonts w:eastAsia="Arial" w:cs="Arial"/>
        </w:rPr>
        <w:t>s</w:t>
      </w:r>
      <w:r w:rsidR="00FC5F69" w:rsidRPr="002514A8">
        <w:rPr>
          <w:rFonts w:eastAsia="Arial" w:cs="Arial"/>
        </w:rPr>
        <w:t>ubseção</w:t>
      </w:r>
      <w:r w:rsidR="002173FF" w:rsidRPr="002514A8">
        <w:rPr>
          <w:rFonts w:eastAsia="Arial" w:cs="Arial"/>
        </w:rPr>
        <w:t xml:space="preserve"> </w:t>
      </w:r>
      <w:r w:rsidR="00BC12CE" w:rsidRPr="002514A8">
        <w:rPr>
          <w:rFonts w:eastAsia="Arial" w:cs="Arial"/>
        </w:rPr>
        <w:t xml:space="preserve">ao Tribunal de Contas </w:t>
      </w:r>
      <w:r w:rsidR="002173FF" w:rsidRPr="002514A8">
        <w:rPr>
          <w:rFonts w:eastAsia="Arial" w:cs="Arial"/>
        </w:rPr>
        <w:t>será feito</w:t>
      </w:r>
      <w:r w:rsidR="00944FDC" w:rsidRPr="002514A8">
        <w:rPr>
          <w:rFonts w:eastAsia="Arial" w:cs="Arial"/>
        </w:rPr>
        <w:t xml:space="preserve"> </w:t>
      </w:r>
      <w:r w:rsidR="002173FF" w:rsidRPr="002514A8">
        <w:rPr>
          <w:rFonts w:eastAsia="Arial" w:cs="Arial"/>
        </w:rPr>
        <w:t>por meio de sistema eletrônico.</w:t>
      </w:r>
      <w:bookmarkEnd w:id="39"/>
      <w:bookmarkEnd w:id="41"/>
    </w:p>
    <w:p w14:paraId="5BF92A7D" w14:textId="77777777" w:rsidR="000228E8" w:rsidRPr="002514A8" w:rsidRDefault="000228E8" w:rsidP="000228E8">
      <w:pPr>
        <w:rPr>
          <w:rFonts w:eastAsia="Arial" w:cs="Arial"/>
        </w:rPr>
      </w:pPr>
      <w:r w:rsidRPr="002514A8">
        <w:rPr>
          <w:rFonts w:eastAsia="Arial" w:cs="Arial"/>
        </w:rPr>
        <w:t xml:space="preserve">§ 1º O Prefeito Municipal, observando os critérios definidos em nota técnica a ser emitida nos termos do inciso IX do art. 151-A do Regimento Interno, </w:t>
      </w:r>
      <w:r w:rsidRPr="002514A8">
        <w:rPr>
          <w:rFonts w:eastAsia="Arial" w:cs="Arial"/>
        </w:rPr>
        <w:lastRenderedPageBreak/>
        <w:t>indicará ao Tribunal de Contas, por meio de cadastramento realizado na forma do art. 13, os interlocutores municipais que encaminharão as respostas aos formulários de que trata este artigo.</w:t>
      </w:r>
    </w:p>
    <w:p w14:paraId="00DFD59B" w14:textId="77777777" w:rsidR="00FB0FA5" w:rsidRPr="002514A8" w:rsidRDefault="00FB0FA5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2º Verificada a ausência, parcial ou integral, de cadastro dos interlocutores referidos no § 1º, os formulários </w:t>
      </w:r>
      <w:r w:rsidR="00464CC6" w:rsidRPr="002514A8">
        <w:rPr>
          <w:rFonts w:eastAsia="Arial" w:cs="Arial"/>
        </w:rPr>
        <w:t xml:space="preserve">de que trata </w:t>
      </w:r>
      <w:r w:rsidRPr="002514A8">
        <w:rPr>
          <w:rFonts w:eastAsia="Arial" w:cs="Arial"/>
        </w:rPr>
        <w:t>este artigo serão disponibilizados exclusivamente ao Prefeito Municipal.</w:t>
      </w:r>
    </w:p>
    <w:p w14:paraId="261246C5" w14:textId="77777777" w:rsidR="00432871" w:rsidRPr="002514A8" w:rsidRDefault="00432871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FB0FA5" w:rsidRPr="002514A8">
        <w:rPr>
          <w:rFonts w:eastAsia="Arial" w:cs="Arial"/>
        </w:rPr>
        <w:t>3</w:t>
      </w:r>
      <w:r w:rsidRPr="002514A8">
        <w:rPr>
          <w:rFonts w:eastAsia="Arial" w:cs="Arial"/>
        </w:rPr>
        <w:t xml:space="preserve">º O acesso ao sistema eletrônico para envio dos formulários referidos no </w:t>
      </w:r>
      <w:r w:rsidRPr="002514A8">
        <w:rPr>
          <w:rFonts w:eastAsia="Arial" w:cs="Arial"/>
          <w:i/>
          <w:iCs/>
        </w:rPr>
        <w:t xml:space="preserve">caput </w:t>
      </w:r>
      <w:r w:rsidRPr="002514A8">
        <w:rPr>
          <w:rFonts w:eastAsia="Arial" w:cs="Arial"/>
        </w:rPr>
        <w:t xml:space="preserve">será concedido ao Prefeito Municipal e aos interlocutores </w:t>
      </w:r>
      <w:r w:rsidR="00464CC6" w:rsidRPr="002514A8">
        <w:rPr>
          <w:rFonts w:eastAsia="Arial" w:cs="Arial"/>
        </w:rPr>
        <w:t>tratados n</w:t>
      </w:r>
      <w:r w:rsidRPr="002514A8">
        <w:rPr>
          <w:rFonts w:eastAsia="Arial" w:cs="Arial"/>
        </w:rPr>
        <w:t xml:space="preserve">o § </w:t>
      </w:r>
      <w:r w:rsidR="00FB0FA5" w:rsidRPr="002514A8">
        <w:rPr>
          <w:rFonts w:eastAsia="Arial" w:cs="Arial"/>
        </w:rPr>
        <w:t>1</w:t>
      </w:r>
      <w:r w:rsidRPr="002514A8">
        <w:rPr>
          <w:rFonts w:eastAsia="Arial" w:cs="Arial"/>
        </w:rPr>
        <w:t>º deste artigo por meio do envio</w:t>
      </w:r>
      <w:r w:rsidR="006164E2" w:rsidRPr="002514A8">
        <w:rPr>
          <w:rFonts w:eastAsia="Arial" w:cs="Arial"/>
        </w:rPr>
        <w:t xml:space="preserve"> </w:t>
      </w:r>
      <w:r w:rsidRPr="002514A8">
        <w:rPr>
          <w:rFonts w:eastAsia="Arial" w:cs="Arial"/>
        </w:rPr>
        <w:t>de links de acesso (URL)</w:t>
      </w:r>
      <w:r w:rsidR="006164E2" w:rsidRPr="002514A8">
        <w:rPr>
          <w:rFonts w:eastAsia="Arial" w:cs="Arial"/>
        </w:rPr>
        <w:t xml:space="preserve"> </w:t>
      </w:r>
      <w:r w:rsidRPr="002514A8">
        <w:rPr>
          <w:rFonts w:eastAsia="Arial" w:cs="Arial"/>
        </w:rPr>
        <w:t>para os e-mails cadastrados</w:t>
      </w:r>
      <w:r w:rsidR="008E5ED9" w:rsidRPr="002514A8">
        <w:rPr>
          <w:rFonts w:eastAsia="Arial" w:cs="Arial"/>
        </w:rPr>
        <w:t xml:space="preserve"> na forma do art. 13 </w:t>
      </w:r>
      <w:r w:rsidR="007B0609" w:rsidRPr="002514A8">
        <w:rPr>
          <w:rFonts w:eastAsia="Arial" w:cs="Arial"/>
        </w:rPr>
        <w:t xml:space="preserve">pela </w:t>
      </w:r>
      <w:r w:rsidR="00C03AAB" w:rsidRPr="002514A8">
        <w:rPr>
          <w:rFonts w:eastAsia="Arial" w:cs="Arial"/>
        </w:rPr>
        <w:t>unidade técnica</w:t>
      </w:r>
      <w:r w:rsidR="007B0609" w:rsidRPr="002514A8">
        <w:rPr>
          <w:rFonts w:eastAsia="Arial" w:cs="Arial"/>
        </w:rPr>
        <w:t xml:space="preserve"> competente.</w:t>
      </w:r>
    </w:p>
    <w:p w14:paraId="2631B488" w14:textId="77777777" w:rsidR="0078268F" w:rsidRPr="002514A8" w:rsidRDefault="0078268F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4º A </w:t>
      </w:r>
      <w:r w:rsidR="00C03AAB" w:rsidRPr="002514A8">
        <w:rPr>
          <w:rFonts w:eastAsia="Arial" w:cs="Arial"/>
        </w:rPr>
        <w:t>unidade técnica</w:t>
      </w:r>
      <w:r w:rsidRPr="002514A8">
        <w:rPr>
          <w:rFonts w:eastAsia="Arial" w:cs="Arial"/>
        </w:rPr>
        <w:t xml:space="preserve"> mencionada no § 3º deste artigo será responsável pelo controle do recebimento das respostas aos formulários de que trata este artigo.</w:t>
      </w:r>
    </w:p>
    <w:p w14:paraId="5BE796E4" w14:textId="77777777" w:rsidR="00FB3A5F" w:rsidRPr="002514A8" w:rsidRDefault="00FB3A5F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F8050B" w:rsidRPr="002514A8">
        <w:rPr>
          <w:rFonts w:eastAsia="Arial" w:cs="Arial"/>
        </w:rPr>
        <w:t>5</w:t>
      </w:r>
      <w:r w:rsidRPr="002514A8">
        <w:rPr>
          <w:rFonts w:eastAsia="Arial" w:cs="Arial"/>
        </w:rPr>
        <w:t xml:space="preserve">º </w:t>
      </w:r>
      <w:r w:rsidR="00BF180E" w:rsidRPr="002514A8">
        <w:rPr>
          <w:rFonts w:eastAsia="Arial" w:cs="Arial"/>
        </w:rPr>
        <w:t>O</w:t>
      </w:r>
      <w:r w:rsidRPr="002514A8">
        <w:rPr>
          <w:rFonts w:eastAsia="Arial" w:cs="Arial"/>
        </w:rPr>
        <w:t xml:space="preserve">s </w:t>
      </w:r>
      <w:r w:rsidR="008175C1" w:rsidRPr="002514A8">
        <w:rPr>
          <w:rFonts w:eastAsia="Arial" w:cs="Arial"/>
        </w:rPr>
        <w:t xml:space="preserve">interlocutores </w:t>
      </w:r>
      <w:r w:rsidR="001114EB" w:rsidRPr="002514A8">
        <w:rPr>
          <w:rFonts w:eastAsia="Arial" w:cs="Arial"/>
        </w:rPr>
        <w:t>referidos n</w:t>
      </w:r>
      <w:r w:rsidR="008175C1" w:rsidRPr="002514A8">
        <w:rPr>
          <w:rFonts w:eastAsia="Arial" w:cs="Arial"/>
        </w:rPr>
        <w:t xml:space="preserve">o § </w:t>
      </w:r>
      <w:r w:rsidR="00330F58" w:rsidRPr="002514A8">
        <w:rPr>
          <w:rFonts w:eastAsia="Arial" w:cs="Arial"/>
        </w:rPr>
        <w:t>1</w:t>
      </w:r>
      <w:r w:rsidR="008175C1" w:rsidRPr="002514A8">
        <w:rPr>
          <w:rFonts w:eastAsia="Arial" w:cs="Arial"/>
        </w:rPr>
        <w:t>º deste artigo</w:t>
      </w:r>
      <w:r w:rsidRPr="002514A8">
        <w:rPr>
          <w:rFonts w:eastAsia="Arial" w:cs="Arial"/>
        </w:rPr>
        <w:t xml:space="preserve"> responderão pela veracidade e fidedignidade das informações prestadas.</w:t>
      </w:r>
    </w:p>
    <w:p w14:paraId="5E9483FA" w14:textId="77777777" w:rsidR="00A25406" w:rsidRPr="002514A8" w:rsidRDefault="008E5ED9" w:rsidP="00C2083B">
      <w:pPr>
        <w:spacing w:after="0"/>
        <w:rPr>
          <w:rFonts w:eastAsia="Arial" w:cs="Arial"/>
        </w:rPr>
      </w:pPr>
      <w:bookmarkStart w:id="42" w:name="_Ref98402522"/>
      <w:r w:rsidRPr="002514A8">
        <w:rPr>
          <w:rFonts w:eastAsia="Arial" w:cs="Arial"/>
          <w:b/>
          <w:bCs/>
        </w:rPr>
        <w:t xml:space="preserve">Art. 9º </w:t>
      </w:r>
      <w:r w:rsidR="00A25406" w:rsidRPr="002514A8">
        <w:rPr>
          <w:rFonts w:eastAsia="Arial" w:cs="Arial"/>
        </w:rPr>
        <w:t xml:space="preserve">Os dados e as informações prestadas na forma desta </w:t>
      </w:r>
      <w:r w:rsidR="00C02657" w:rsidRPr="002514A8">
        <w:rPr>
          <w:rFonts w:eastAsia="Arial" w:cs="Arial"/>
        </w:rPr>
        <w:t>s</w:t>
      </w:r>
      <w:r w:rsidR="00A25406" w:rsidRPr="002514A8">
        <w:rPr>
          <w:rFonts w:eastAsia="Arial" w:cs="Arial"/>
        </w:rPr>
        <w:t>eção terão caráter declaratório e, na hipótese de serem verificadas inconsistências, os responsáveis ficarão sujeitos</w:t>
      </w:r>
      <w:r w:rsidR="00DD66A4" w:rsidRPr="002514A8">
        <w:rPr>
          <w:rFonts w:eastAsia="Arial" w:cs="Arial"/>
        </w:rPr>
        <w:t xml:space="preserve"> à</w:t>
      </w:r>
      <w:r w:rsidR="00A25406" w:rsidRPr="002514A8">
        <w:rPr>
          <w:rFonts w:eastAsia="Arial" w:cs="Arial"/>
        </w:rPr>
        <w:t xml:space="preserve"> </w:t>
      </w:r>
      <w:r w:rsidR="003D50AA" w:rsidRPr="002514A8">
        <w:rPr>
          <w:rFonts w:eastAsia="Arial" w:cs="Arial"/>
        </w:rPr>
        <w:t>responsabilização mediante abertura de processo específico</w:t>
      </w:r>
      <w:r w:rsidR="00CE365D" w:rsidRPr="002514A8">
        <w:rPr>
          <w:rFonts w:eastAsia="Arial" w:cs="Arial"/>
        </w:rPr>
        <w:t xml:space="preserve">, sendo passível </w:t>
      </w:r>
      <w:r w:rsidR="00E52024" w:rsidRPr="002514A8">
        <w:rPr>
          <w:rFonts w:eastAsia="Arial" w:cs="Arial"/>
        </w:rPr>
        <w:t>d</w:t>
      </w:r>
      <w:r w:rsidR="00E50DA2" w:rsidRPr="002514A8">
        <w:rPr>
          <w:rFonts w:eastAsia="Arial" w:cs="Arial"/>
        </w:rPr>
        <w:t>e</w:t>
      </w:r>
      <w:r w:rsidR="00CE365D" w:rsidRPr="002514A8">
        <w:rPr>
          <w:rFonts w:eastAsia="Arial" w:cs="Arial"/>
        </w:rPr>
        <w:t xml:space="preserve"> aplicação d</w:t>
      </w:r>
      <w:r w:rsidR="00E50DA2" w:rsidRPr="002514A8">
        <w:rPr>
          <w:rFonts w:eastAsia="Arial" w:cs="Arial"/>
        </w:rPr>
        <w:t>e</w:t>
      </w:r>
      <w:r w:rsidR="00CE365D" w:rsidRPr="002514A8">
        <w:rPr>
          <w:rFonts w:eastAsia="Arial" w:cs="Arial"/>
        </w:rPr>
        <w:t xml:space="preserve"> </w:t>
      </w:r>
      <w:r w:rsidR="00E013CF" w:rsidRPr="002514A8">
        <w:rPr>
          <w:rFonts w:eastAsia="Arial" w:cs="Arial"/>
        </w:rPr>
        <w:t xml:space="preserve">multa </w:t>
      </w:r>
      <w:r w:rsidR="00D21E7A" w:rsidRPr="002514A8">
        <w:rPr>
          <w:rFonts w:eastAsia="Arial" w:cs="Arial"/>
        </w:rPr>
        <w:t xml:space="preserve">e </w:t>
      </w:r>
      <w:r w:rsidR="00E92339" w:rsidRPr="002514A8">
        <w:rPr>
          <w:rFonts w:eastAsia="Arial" w:cs="Arial"/>
        </w:rPr>
        <w:t>d</w:t>
      </w:r>
      <w:r w:rsidR="00077CE6" w:rsidRPr="002514A8">
        <w:rPr>
          <w:rFonts w:eastAsia="Arial" w:cs="Arial"/>
        </w:rPr>
        <w:t>e</w:t>
      </w:r>
      <w:r w:rsidR="00E92339" w:rsidRPr="002514A8">
        <w:rPr>
          <w:rFonts w:eastAsia="Arial" w:cs="Arial"/>
        </w:rPr>
        <w:t xml:space="preserve"> </w:t>
      </w:r>
      <w:r w:rsidR="007F3CAB" w:rsidRPr="002514A8">
        <w:rPr>
          <w:rFonts w:eastAsia="Arial" w:cs="Arial"/>
        </w:rPr>
        <w:t>d</w:t>
      </w:r>
      <w:r w:rsidR="0046318A" w:rsidRPr="002514A8">
        <w:rPr>
          <w:rFonts w:eastAsia="Arial" w:cs="Arial"/>
        </w:rPr>
        <w:t xml:space="preserve">eclaração de </w:t>
      </w:r>
      <w:r w:rsidR="007F3CAB" w:rsidRPr="002514A8">
        <w:rPr>
          <w:rFonts w:eastAsia="Arial" w:cs="Arial"/>
        </w:rPr>
        <w:t>i</w:t>
      </w:r>
      <w:r w:rsidR="0046318A" w:rsidRPr="002514A8">
        <w:rPr>
          <w:rFonts w:eastAsia="Arial" w:cs="Arial"/>
        </w:rPr>
        <w:t>nidoneidade</w:t>
      </w:r>
      <w:r w:rsidR="00077CE6" w:rsidRPr="002514A8">
        <w:rPr>
          <w:rFonts w:eastAsia="Arial" w:cs="Arial"/>
        </w:rPr>
        <w:t>, nos termos do</w:t>
      </w:r>
      <w:r w:rsidR="00E013CF" w:rsidRPr="002514A8">
        <w:rPr>
          <w:rFonts w:eastAsia="Arial" w:cs="Arial"/>
        </w:rPr>
        <w:t xml:space="preserve"> art.</w:t>
      </w:r>
      <w:r w:rsidR="00782A47" w:rsidRPr="002514A8">
        <w:rPr>
          <w:rFonts w:eastAsia="Arial" w:cs="Arial"/>
        </w:rPr>
        <w:t xml:space="preserve"> 87, </w:t>
      </w:r>
      <w:r w:rsidR="00864B8D" w:rsidRPr="002514A8">
        <w:rPr>
          <w:rFonts w:eastAsia="Arial" w:cs="Arial"/>
        </w:rPr>
        <w:t xml:space="preserve">inciso </w:t>
      </w:r>
      <w:r w:rsidR="00782A47" w:rsidRPr="002514A8">
        <w:rPr>
          <w:rFonts w:eastAsia="Arial" w:cs="Arial"/>
        </w:rPr>
        <w:t xml:space="preserve">IV, </w:t>
      </w:r>
      <w:r w:rsidR="00864B8D" w:rsidRPr="002514A8">
        <w:rPr>
          <w:rFonts w:eastAsia="Arial" w:cs="Arial"/>
        </w:rPr>
        <w:t>alínea “</w:t>
      </w:r>
      <w:r w:rsidR="00782A47" w:rsidRPr="002514A8">
        <w:rPr>
          <w:rFonts w:eastAsia="Arial" w:cs="Arial"/>
        </w:rPr>
        <w:t>i</w:t>
      </w:r>
      <w:r w:rsidR="00864B8D" w:rsidRPr="002514A8">
        <w:rPr>
          <w:rFonts w:eastAsia="Arial" w:cs="Arial"/>
        </w:rPr>
        <w:t>”,</w:t>
      </w:r>
      <w:r w:rsidR="00DD66A4" w:rsidRPr="002514A8">
        <w:rPr>
          <w:rFonts w:eastAsia="Arial" w:cs="Arial"/>
        </w:rPr>
        <w:t xml:space="preserve"> e</w:t>
      </w:r>
      <w:r w:rsidR="00A25406" w:rsidRPr="002514A8">
        <w:rPr>
          <w:rFonts w:eastAsia="Arial" w:cs="Arial"/>
        </w:rPr>
        <w:t xml:space="preserve"> </w:t>
      </w:r>
      <w:r w:rsidR="00077CE6" w:rsidRPr="002514A8">
        <w:rPr>
          <w:rFonts w:eastAsia="Arial" w:cs="Arial"/>
        </w:rPr>
        <w:t xml:space="preserve">do art. </w:t>
      </w:r>
      <w:r w:rsidR="00A25406" w:rsidRPr="002514A8">
        <w:rPr>
          <w:rFonts w:eastAsia="Arial" w:cs="Arial"/>
        </w:rPr>
        <w:t xml:space="preserve">97 da Lei Complementar </w:t>
      </w:r>
      <w:r w:rsidR="00FA6FAD" w:rsidRPr="002514A8">
        <w:rPr>
          <w:rFonts w:eastAsia="Arial" w:cs="Arial"/>
        </w:rPr>
        <w:t xml:space="preserve">Estadual </w:t>
      </w:r>
      <w:r w:rsidR="00A25406" w:rsidRPr="002514A8">
        <w:rPr>
          <w:rFonts w:eastAsia="Arial" w:cs="Arial"/>
        </w:rPr>
        <w:t>nº 113</w:t>
      </w:r>
      <w:r w:rsidR="00FB4EE5" w:rsidRPr="002514A8">
        <w:rPr>
          <w:rFonts w:eastAsia="Arial" w:cs="Arial"/>
        </w:rPr>
        <w:t>, de 20</w:t>
      </w:r>
      <w:r w:rsidR="00A25406" w:rsidRPr="002514A8">
        <w:rPr>
          <w:rFonts w:eastAsia="Arial" w:cs="Arial"/>
        </w:rPr>
        <w:t>05.</w:t>
      </w:r>
      <w:bookmarkEnd w:id="42"/>
    </w:p>
    <w:p w14:paraId="0297F992" w14:textId="77777777" w:rsidR="00D1153B" w:rsidRPr="002514A8" w:rsidRDefault="00E81D6D" w:rsidP="00C2083B">
      <w:pPr>
        <w:spacing w:after="0"/>
        <w:rPr>
          <w:rFonts w:eastAsia="Arial" w:cs="Arial"/>
        </w:rPr>
      </w:pPr>
      <w:bookmarkStart w:id="43" w:name="_Ref98335638"/>
      <w:r w:rsidRPr="002514A8">
        <w:rPr>
          <w:rFonts w:eastAsia="Arial" w:cs="Arial"/>
        </w:rPr>
        <w:t xml:space="preserve">§ </w:t>
      </w:r>
      <w:r w:rsidR="009B1AE7" w:rsidRPr="002514A8">
        <w:rPr>
          <w:rFonts w:eastAsia="Arial" w:cs="Arial"/>
        </w:rPr>
        <w:t xml:space="preserve">1º A Coordenadoria-Geral de Fiscalização </w:t>
      </w:r>
      <w:r w:rsidR="00821784" w:rsidRPr="002514A8">
        <w:rPr>
          <w:rFonts w:eastAsia="Arial" w:cs="Arial"/>
        </w:rPr>
        <w:t xml:space="preserve">em conjunto </w:t>
      </w:r>
      <w:r w:rsidR="009B1AE7" w:rsidRPr="002514A8">
        <w:rPr>
          <w:rFonts w:eastAsia="Arial" w:cs="Arial"/>
        </w:rPr>
        <w:t xml:space="preserve">com a </w:t>
      </w:r>
      <w:r w:rsidR="00C03AAB" w:rsidRPr="002514A8">
        <w:rPr>
          <w:rFonts w:eastAsia="Arial" w:cs="Arial"/>
        </w:rPr>
        <w:t>unidade técnica</w:t>
      </w:r>
      <w:r w:rsidR="009B1AE7" w:rsidRPr="002514A8">
        <w:rPr>
          <w:rFonts w:eastAsia="Arial" w:cs="Arial"/>
        </w:rPr>
        <w:t xml:space="preserve"> competente para a análise das Prestações de Contas de Prefeito Municipal poder</w:t>
      </w:r>
      <w:r w:rsidR="000228E8" w:rsidRPr="002514A8">
        <w:rPr>
          <w:rFonts w:eastAsia="Arial" w:cs="Arial"/>
        </w:rPr>
        <w:t>á</w:t>
      </w:r>
      <w:r w:rsidR="00826332" w:rsidRPr="002514A8">
        <w:rPr>
          <w:rFonts w:eastAsia="Arial" w:cs="Arial"/>
        </w:rPr>
        <w:t xml:space="preserve"> </w:t>
      </w:r>
      <w:r w:rsidR="00D1153B" w:rsidRPr="002514A8">
        <w:rPr>
          <w:rFonts w:eastAsia="Arial" w:cs="Arial"/>
        </w:rPr>
        <w:t xml:space="preserve">estabelecer critérios a serem utilizados </w:t>
      </w:r>
      <w:r w:rsidR="00C02B45" w:rsidRPr="002514A8">
        <w:rPr>
          <w:rFonts w:eastAsia="Arial" w:cs="Arial"/>
        </w:rPr>
        <w:t>na realização de</w:t>
      </w:r>
      <w:r w:rsidR="00D1153B" w:rsidRPr="002514A8">
        <w:rPr>
          <w:rFonts w:eastAsia="Arial" w:cs="Arial"/>
        </w:rPr>
        <w:t xml:space="preserve"> análises de consistência dos dados </w:t>
      </w:r>
      <w:r w:rsidR="00A01460" w:rsidRPr="002514A8">
        <w:rPr>
          <w:rFonts w:eastAsia="Arial" w:cs="Arial"/>
        </w:rPr>
        <w:t xml:space="preserve">de que trata esta </w:t>
      </w:r>
      <w:r w:rsidR="00C02657" w:rsidRPr="002514A8">
        <w:rPr>
          <w:rFonts w:eastAsia="Arial" w:cs="Arial"/>
        </w:rPr>
        <w:t>s</w:t>
      </w:r>
      <w:r w:rsidR="00A01460" w:rsidRPr="002514A8">
        <w:rPr>
          <w:rFonts w:eastAsia="Arial" w:cs="Arial"/>
        </w:rPr>
        <w:t>eção</w:t>
      </w:r>
      <w:r w:rsidR="00556776" w:rsidRPr="002514A8">
        <w:rPr>
          <w:rFonts w:eastAsia="Arial" w:cs="Arial"/>
        </w:rPr>
        <w:t>, bem como encaminhamentos nos casos em que seja</w:t>
      </w:r>
      <w:r w:rsidR="00A01460" w:rsidRPr="002514A8">
        <w:rPr>
          <w:rFonts w:eastAsia="Arial" w:cs="Arial"/>
        </w:rPr>
        <w:t>m</w:t>
      </w:r>
      <w:r w:rsidR="00556776" w:rsidRPr="002514A8">
        <w:rPr>
          <w:rFonts w:eastAsia="Arial" w:cs="Arial"/>
        </w:rPr>
        <w:t xml:space="preserve"> verificados indícios de </w:t>
      </w:r>
      <w:bookmarkEnd w:id="43"/>
      <w:r w:rsidR="00DA1451" w:rsidRPr="002514A8">
        <w:rPr>
          <w:rFonts w:eastAsia="Arial" w:cs="Arial"/>
        </w:rPr>
        <w:t>incorreções.</w:t>
      </w:r>
    </w:p>
    <w:p w14:paraId="1B4E1129" w14:textId="77777777" w:rsidR="00E81D6D" w:rsidRPr="002514A8" w:rsidRDefault="00342D26" w:rsidP="00C2083B">
      <w:pPr>
        <w:spacing w:after="0"/>
        <w:rPr>
          <w:rFonts w:eastAsia="Arial" w:cs="Arial"/>
        </w:rPr>
      </w:pPr>
      <w:r>
        <w:rPr>
          <w:rFonts w:eastAsia="Arial" w:cs="Arial"/>
        </w:rPr>
        <w:t xml:space="preserve">§ </w:t>
      </w:r>
      <w:r w:rsidR="00E81D6D" w:rsidRPr="002514A8">
        <w:rPr>
          <w:rFonts w:eastAsia="Arial" w:cs="Arial"/>
        </w:rPr>
        <w:t xml:space="preserve">2º </w:t>
      </w:r>
      <w:r w:rsidR="00A118DA" w:rsidRPr="002514A8">
        <w:rPr>
          <w:rFonts w:eastAsia="Arial" w:cs="Arial"/>
        </w:rPr>
        <w:t xml:space="preserve">As </w:t>
      </w:r>
      <w:r w:rsidR="00430CDE" w:rsidRPr="002514A8">
        <w:rPr>
          <w:rFonts w:eastAsia="Arial" w:cs="Arial"/>
        </w:rPr>
        <w:t>Coordenadorias</w:t>
      </w:r>
      <w:r w:rsidR="00A118DA" w:rsidRPr="002514A8">
        <w:rPr>
          <w:rFonts w:eastAsia="Arial" w:cs="Arial"/>
        </w:rPr>
        <w:t xml:space="preserve"> poderão </w:t>
      </w:r>
      <w:r w:rsidR="00A11DCF" w:rsidRPr="002514A8">
        <w:rPr>
          <w:rFonts w:eastAsia="Arial" w:cs="Arial"/>
        </w:rPr>
        <w:t>atuar</w:t>
      </w:r>
      <w:r w:rsidR="00A118DA" w:rsidRPr="002514A8">
        <w:rPr>
          <w:rFonts w:eastAsia="Arial" w:cs="Arial"/>
        </w:rPr>
        <w:t xml:space="preserve"> </w:t>
      </w:r>
      <w:r w:rsidR="00A11DCF" w:rsidRPr="002514A8">
        <w:rPr>
          <w:rFonts w:eastAsia="Arial" w:cs="Arial"/>
        </w:rPr>
        <w:t xml:space="preserve">na </w:t>
      </w:r>
      <w:r w:rsidR="00CF06F6" w:rsidRPr="002514A8">
        <w:rPr>
          <w:rFonts w:eastAsia="Arial" w:cs="Arial"/>
        </w:rPr>
        <w:t xml:space="preserve">análise da </w:t>
      </w:r>
      <w:r w:rsidR="00A11DCF" w:rsidRPr="002514A8">
        <w:rPr>
          <w:rFonts w:eastAsia="Arial" w:cs="Arial"/>
        </w:rPr>
        <w:t xml:space="preserve">consistência </w:t>
      </w:r>
      <w:r w:rsidR="00CF06F6" w:rsidRPr="002514A8">
        <w:rPr>
          <w:rFonts w:eastAsia="Arial" w:cs="Arial"/>
        </w:rPr>
        <w:t>dos dados</w:t>
      </w:r>
      <w:r w:rsidR="00DC3218" w:rsidRPr="002514A8">
        <w:rPr>
          <w:rFonts w:eastAsia="Arial" w:cs="Arial"/>
        </w:rPr>
        <w:t xml:space="preserve"> de que trata este artigo, conforme planejamento definido em conjunto com a Coordenadoria-Geral de Fiscalização.</w:t>
      </w:r>
    </w:p>
    <w:p w14:paraId="1CF51170" w14:textId="77777777" w:rsidR="009E1C33" w:rsidRPr="002514A8" w:rsidRDefault="002A1AB0" w:rsidP="00CE423B">
      <w:pPr>
        <w:pStyle w:val="Ttulo3"/>
        <w:spacing w:after="0"/>
        <w:rPr>
          <w:rFonts w:eastAsia="Arial" w:cs="Arial"/>
        </w:rPr>
      </w:pPr>
      <w:bookmarkStart w:id="44" w:name="_Ref102631705"/>
      <w:bookmarkStart w:id="45" w:name="_Toc103326109"/>
      <w:bookmarkStart w:id="46" w:name="_Toc104385373"/>
      <w:bookmarkStart w:id="47" w:name="_Toc108448544"/>
      <w:r w:rsidRPr="002514A8">
        <w:rPr>
          <w:rFonts w:eastAsia="Arial" w:cs="Arial"/>
        </w:rPr>
        <w:t>Subseção</w:t>
      </w:r>
      <w:r w:rsidR="00800AA7" w:rsidRPr="002514A8">
        <w:rPr>
          <w:rFonts w:eastAsia="Arial" w:cs="Arial"/>
        </w:rPr>
        <w:t xml:space="preserve"> I</w:t>
      </w:r>
      <w:r w:rsidR="00AB752D" w:rsidRPr="002514A8">
        <w:rPr>
          <w:rFonts w:eastAsia="Arial" w:cs="Arial"/>
        </w:rPr>
        <w:t>II</w:t>
      </w:r>
      <w:bookmarkEnd w:id="44"/>
      <w:bookmarkEnd w:id="45"/>
      <w:bookmarkEnd w:id="46"/>
      <w:bookmarkEnd w:id="47"/>
    </w:p>
    <w:p w14:paraId="00AAC15F" w14:textId="77777777" w:rsidR="00800AA7" w:rsidRPr="002514A8" w:rsidRDefault="002A1AB0" w:rsidP="00BE44CA">
      <w:pPr>
        <w:pStyle w:val="Ttulo3"/>
        <w:spacing w:before="0" w:after="240"/>
        <w:rPr>
          <w:rFonts w:eastAsia="Arial" w:cs="Arial"/>
        </w:rPr>
      </w:pPr>
      <w:bookmarkStart w:id="48" w:name="_Toc103326110"/>
      <w:bookmarkStart w:id="49" w:name="_Toc104385374"/>
      <w:bookmarkStart w:id="50" w:name="_Toc108448545"/>
      <w:r w:rsidRPr="002514A8">
        <w:rPr>
          <w:rFonts w:eastAsia="Arial" w:cs="Arial"/>
        </w:rPr>
        <w:t>Dos Demais Documentos que compõem a Prestação de Contas</w:t>
      </w:r>
      <w:bookmarkEnd w:id="48"/>
      <w:bookmarkEnd w:id="49"/>
      <w:bookmarkEnd w:id="50"/>
    </w:p>
    <w:p w14:paraId="31C8F829" w14:textId="50D54BEC" w:rsidR="00800AA7" w:rsidRPr="002514A8" w:rsidRDefault="008E5ED9" w:rsidP="00DC5354">
      <w:pPr>
        <w:spacing w:after="0"/>
        <w:rPr>
          <w:rFonts w:eastAsia="Arial" w:cs="Arial"/>
        </w:rPr>
      </w:pPr>
      <w:bookmarkStart w:id="51" w:name="_Ref98147323"/>
      <w:r w:rsidRPr="002514A8">
        <w:rPr>
          <w:rFonts w:eastAsia="Arial" w:cs="Arial"/>
          <w:b/>
          <w:bCs/>
        </w:rPr>
        <w:t>Art. 10</w:t>
      </w:r>
      <w:r w:rsidR="00A42C3E" w:rsidRPr="002514A8">
        <w:rPr>
          <w:rFonts w:eastAsia="Arial" w:cs="Arial"/>
          <w:b/>
          <w:bCs/>
        </w:rPr>
        <w:t>.</w:t>
      </w:r>
      <w:r w:rsidRPr="002514A8">
        <w:rPr>
          <w:rFonts w:eastAsia="Arial" w:cs="Arial"/>
          <w:b/>
          <w:bCs/>
        </w:rPr>
        <w:t xml:space="preserve"> </w:t>
      </w:r>
      <w:r w:rsidR="00800AA7" w:rsidRPr="002514A8">
        <w:rPr>
          <w:rFonts w:eastAsia="Arial" w:cs="Arial"/>
        </w:rPr>
        <w:t xml:space="preserve">O envio dos documentos </w:t>
      </w:r>
      <w:r w:rsidR="00B442D9" w:rsidRPr="002514A8">
        <w:rPr>
          <w:rFonts w:eastAsia="Arial" w:cs="Arial"/>
        </w:rPr>
        <w:t>previstos no inciso III d</w:t>
      </w:r>
      <w:r w:rsidRPr="002514A8">
        <w:rPr>
          <w:rFonts w:eastAsia="Arial" w:cs="Arial"/>
        </w:rPr>
        <w:t xml:space="preserve">o art. 5º </w:t>
      </w:r>
      <w:r w:rsidR="00800AA7" w:rsidRPr="002514A8">
        <w:rPr>
          <w:rFonts w:eastAsia="Arial" w:cs="Arial"/>
        </w:rPr>
        <w:t xml:space="preserve">será feito exclusivamente mediante peticionamento eletrônico, através do Portal e-Contas Paraná, no sítio do Tribunal de Contas, nos termos da </w:t>
      </w:r>
      <w:hyperlink r:id="rId13" w:history="1">
        <w:r w:rsidR="00800AA7" w:rsidRPr="003567CF">
          <w:rPr>
            <w:rStyle w:val="Hyperlink"/>
            <w:rFonts w:eastAsia="Arial" w:cs="Arial"/>
          </w:rPr>
          <w:t>Instrução Normativa nº 62</w:t>
        </w:r>
        <w:r w:rsidR="00E25498" w:rsidRPr="003567CF">
          <w:rPr>
            <w:rStyle w:val="Hyperlink"/>
            <w:rFonts w:eastAsia="Arial" w:cs="Arial"/>
          </w:rPr>
          <w:t>, de 15 de dezembro de 2011</w:t>
        </w:r>
      </w:hyperlink>
      <w:r w:rsidR="00AE3A3C" w:rsidRPr="002514A8">
        <w:rPr>
          <w:rFonts w:eastAsia="Arial" w:cs="Arial"/>
        </w:rPr>
        <w:t xml:space="preserve">, ou da normativa que </w:t>
      </w:r>
      <w:r w:rsidR="0042063A" w:rsidRPr="002514A8">
        <w:rPr>
          <w:rFonts w:eastAsia="Arial" w:cs="Arial"/>
        </w:rPr>
        <w:t>vier a substituir</w:t>
      </w:r>
      <w:r w:rsidR="00800AA7" w:rsidRPr="002514A8">
        <w:rPr>
          <w:rFonts w:eastAsia="Arial" w:cs="Arial"/>
        </w:rPr>
        <w:t>.</w:t>
      </w:r>
      <w:bookmarkEnd w:id="51"/>
    </w:p>
    <w:p w14:paraId="05E4FB8A" w14:textId="77777777" w:rsidR="00800AA7" w:rsidRPr="002514A8" w:rsidRDefault="00800AA7" w:rsidP="00DC5354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1º O envio dos documentos deverá ser feito </w:t>
      </w:r>
      <w:r w:rsidR="006B58B5" w:rsidRPr="002514A8">
        <w:rPr>
          <w:rFonts w:eastAsia="Arial" w:cs="Arial"/>
        </w:rPr>
        <w:t>nos termos do</w:t>
      </w:r>
      <w:r w:rsidR="007A5D42" w:rsidRPr="002514A8">
        <w:rPr>
          <w:rFonts w:eastAsia="Arial" w:cs="Arial"/>
        </w:rPr>
        <w:t xml:space="preserve"> § 1º do</w:t>
      </w:r>
      <w:r w:rsidR="006B58B5" w:rsidRPr="002514A8">
        <w:rPr>
          <w:rFonts w:eastAsia="Arial" w:cs="Arial"/>
        </w:rPr>
        <w:t xml:space="preserve"> </w:t>
      </w:r>
      <w:r w:rsidR="00FF7594" w:rsidRPr="002514A8">
        <w:rPr>
          <w:rFonts w:eastAsia="Arial" w:cs="Arial"/>
        </w:rPr>
        <w:t>art. 2</w:t>
      </w:r>
      <w:r w:rsidR="00422F1C" w:rsidRPr="002514A8">
        <w:rPr>
          <w:rFonts w:eastAsia="Arial" w:cs="Arial"/>
        </w:rPr>
        <w:t>1</w:t>
      </w:r>
      <w:r w:rsidR="00FF7594" w:rsidRPr="002514A8">
        <w:rPr>
          <w:rFonts w:eastAsia="Arial" w:cs="Arial"/>
        </w:rPr>
        <w:t>5</w:t>
      </w:r>
      <w:r w:rsidRPr="002514A8">
        <w:rPr>
          <w:rFonts w:eastAsia="Arial" w:cs="Arial"/>
        </w:rPr>
        <w:t xml:space="preserve"> do Regimento Interno.</w:t>
      </w:r>
    </w:p>
    <w:p w14:paraId="3C92966B" w14:textId="77777777" w:rsidR="00660554" w:rsidRPr="002514A8" w:rsidRDefault="00660554" w:rsidP="00DC5354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§ 2º O rol d</w:t>
      </w:r>
      <w:r w:rsidR="00284FC3" w:rsidRPr="002514A8">
        <w:rPr>
          <w:rFonts w:eastAsia="Arial" w:cs="Arial"/>
        </w:rPr>
        <w:t xml:space="preserve">os </w:t>
      </w:r>
      <w:r w:rsidRPr="002514A8">
        <w:rPr>
          <w:rFonts w:eastAsia="Arial" w:cs="Arial"/>
        </w:rPr>
        <w:t xml:space="preserve">documentos </w:t>
      </w:r>
      <w:r w:rsidR="00D54DE0" w:rsidRPr="002514A8">
        <w:rPr>
          <w:rFonts w:eastAsia="Arial" w:cs="Arial"/>
        </w:rPr>
        <w:t>de que trata este artigo</w:t>
      </w:r>
      <w:r w:rsidR="00284FC3" w:rsidRPr="002514A8">
        <w:rPr>
          <w:rFonts w:eastAsia="Arial" w:cs="Arial"/>
        </w:rPr>
        <w:t xml:space="preserve"> </w:t>
      </w:r>
      <w:r w:rsidR="00D54DE0" w:rsidRPr="002514A8">
        <w:rPr>
          <w:rFonts w:eastAsia="Arial" w:cs="Arial"/>
        </w:rPr>
        <w:t xml:space="preserve">será definido em </w:t>
      </w:r>
      <w:r w:rsidR="00464CC6" w:rsidRPr="002514A8">
        <w:rPr>
          <w:rFonts w:eastAsia="Arial" w:cs="Arial"/>
        </w:rPr>
        <w:t>nota técnica</w:t>
      </w:r>
      <w:r w:rsidR="009568A3" w:rsidRPr="002514A8">
        <w:rPr>
          <w:rFonts w:eastAsia="Arial" w:cs="Arial"/>
        </w:rPr>
        <w:t xml:space="preserve"> </w:t>
      </w:r>
      <w:r w:rsidR="00237CC6" w:rsidRPr="002514A8">
        <w:rPr>
          <w:rFonts w:eastAsia="Arial" w:cs="Arial"/>
        </w:rPr>
        <w:t xml:space="preserve">a ser emitida </w:t>
      </w:r>
      <w:r w:rsidR="00E44D5C" w:rsidRPr="002514A8">
        <w:rPr>
          <w:rStyle w:val="normaltextrun"/>
          <w:rFonts w:cs="Arial"/>
          <w:color w:val="000000"/>
          <w:bdr w:val="none" w:sz="0" w:space="0" w:color="auto" w:frame="1"/>
        </w:rPr>
        <w:t>pela Coordenadoria-Geral de Fiscalização</w:t>
      </w:r>
      <w:r w:rsidR="00D54DE0" w:rsidRPr="002514A8">
        <w:rPr>
          <w:rFonts w:eastAsia="Arial" w:cs="Arial"/>
        </w:rPr>
        <w:t>.</w:t>
      </w:r>
    </w:p>
    <w:p w14:paraId="5EA14852" w14:textId="77777777" w:rsidR="00F64D9A" w:rsidRPr="002514A8" w:rsidRDefault="002A1AB0" w:rsidP="00CE423B">
      <w:pPr>
        <w:pStyle w:val="Ttulo2"/>
        <w:spacing w:after="0"/>
        <w:rPr>
          <w:rFonts w:eastAsia="Arial" w:cs="Arial"/>
        </w:rPr>
      </w:pPr>
      <w:bookmarkStart w:id="52" w:name="_Ref98402718"/>
      <w:bookmarkStart w:id="53" w:name="_Toc103326111"/>
      <w:bookmarkStart w:id="54" w:name="_Toc104385375"/>
      <w:bookmarkStart w:id="55" w:name="_Toc108448546"/>
      <w:r w:rsidRPr="002514A8">
        <w:rPr>
          <w:rFonts w:eastAsia="Arial" w:cs="Arial"/>
        </w:rPr>
        <w:lastRenderedPageBreak/>
        <w:t>Seção</w:t>
      </w:r>
      <w:r w:rsidR="00AB752D" w:rsidRPr="002514A8">
        <w:rPr>
          <w:rFonts w:eastAsia="Arial" w:cs="Arial"/>
        </w:rPr>
        <w:t xml:space="preserve"> </w:t>
      </w:r>
      <w:r w:rsidR="00F64D9A" w:rsidRPr="002514A8">
        <w:rPr>
          <w:rFonts w:eastAsia="Arial" w:cs="Arial"/>
        </w:rPr>
        <w:t>II</w:t>
      </w:r>
      <w:bookmarkEnd w:id="52"/>
      <w:bookmarkEnd w:id="53"/>
      <w:bookmarkEnd w:id="54"/>
      <w:bookmarkEnd w:id="55"/>
    </w:p>
    <w:p w14:paraId="6C6051D8" w14:textId="77777777" w:rsidR="00F64D9A" w:rsidRPr="002514A8" w:rsidRDefault="002A1AB0" w:rsidP="00BE44CA">
      <w:pPr>
        <w:pStyle w:val="Ttulo2"/>
        <w:spacing w:before="0" w:after="240"/>
        <w:rPr>
          <w:rFonts w:eastAsia="Arial" w:cs="Arial"/>
        </w:rPr>
      </w:pPr>
      <w:bookmarkStart w:id="56" w:name="_Toc103326112"/>
      <w:bookmarkStart w:id="57" w:name="_Toc104385376"/>
      <w:bookmarkStart w:id="58" w:name="_Toc108448547"/>
      <w:r w:rsidRPr="002514A8">
        <w:rPr>
          <w:rFonts w:eastAsia="Arial" w:cs="Arial"/>
        </w:rPr>
        <w:t xml:space="preserve">Da Responsabilidade pela Apresentação da Prestação </w:t>
      </w:r>
      <w:r w:rsidR="00AB170C" w:rsidRPr="002514A8">
        <w:rPr>
          <w:rFonts w:eastAsia="Arial" w:cs="Arial"/>
        </w:rPr>
        <w:t>d</w:t>
      </w:r>
      <w:r w:rsidRPr="002514A8">
        <w:rPr>
          <w:rFonts w:eastAsia="Arial" w:cs="Arial"/>
        </w:rPr>
        <w:t>e Contas</w:t>
      </w:r>
      <w:bookmarkEnd w:id="56"/>
      <w:bookmarkEnd w:id="57"/>
      <w:bookmarkEnd w:id="58"/>
    </w:p>
    <w:p w14:paraId="4630C66D" w14:textId="77777777" w:rsidR="00250B92" w:rsidRPr="002514A8" w:rsidRDefault="00A42C3E" w:rsidP="00C2083B">
      <w:pPr>
        <w:spacing w:after="0"/>
        <w:rPr>
          <w:rFonts w:eastAsia="Arial" w:cs="Arial"/>
        </w:rPr>
      </w:pPr>
      <w:bookmarkStart w:id="59" w:name="_Ref98321336"/>
      <w:r w:rsidRPr="002514A8">
        <w:rPr>
          <w:rFonts w:eastAsia="Arial" w:cs="Arial"/>
          <w:b/>
          <w:bCs/>
        </w:rPr>
        <w:t xml:space="preserve">Art. 11. </w:t>
      </w:r>
      <w:r w:rsidR="00687F6D" w:rsidRPr="002514A8">
        <w:rPr>
          <w:rFonts w:eastAsia="Arial" w:cs="Arial"/>
        </w:rPr>
        <w:t>A responsabilidade pel</w:t>
      </w:r>
      <w:r w:rsidR="005C3CCB" w:rsidRPr="002514A8">
        <w:rPr>
          <w:rFonts w:eastAsia="Arial" w:cs="Arial"/>
        </w:rPr>
        <w:t xml:space="preserve">a apresentação </w:t>
      </w:r>
      <w:r w:rsidR="006F2583" w:rsidRPr="002514A8">
        <w:rPr>
          <w:rFonts w:eastAsia="Arial" w:cs="Arial"/>
        </w:rPr>
        <w:t>dos dados</w:t>
      </w:r>
      <w:r w:rsidR="00BD19DF" w:rsidRPr="002514A8">
        <w:rPr>
          <w:rFonts w:eastAsia="Arial" w:cs="Arial"/>
        </w:rPr>
        <w:t xml:space="preserve"> e dos documentos </w:t>
      </w:r>
      <w:r w:rsidR="00B442D9" w:rsidRPr="002514A8">
        <w:rPr>
          <w:rFonts w:eastAsia="Arial" w:cs="Arial"/>
        </w:rPr>
        <w:t>a que se refere</w:t>
      </w:r>
      <w:r w:rsidR="006F2583" w:rsidRPr="002514A8">
        <w:rPr>
          <w:rFonts w:eastAsia="Arial" w:cs="Arial"/>
        </w:rPr>
        <w:t xml:space="preserve"> </w:t>
      </w:r>
      <w:r w:rsidR="008E5ED9" w:rsidRPr="002514A8">
        <w:rPr>
          <w:rFonts w:eastAsia="Arial" w:cs="Arial"/>
        </w:rPr>
        <w:t xml:space="preserve">o art. 5º </w:t>
      </w:r>
      <w:r w:rsidR="00687F6D" w:rsidRPr="002514A8">
        <w:rPr>
          <w:rFonts w:eastAsia="Arial" w:cs="Arial"/>
        </w:rPr>
        <w:t>incidirá sobre os</w:t>
      </w:r>
      <w:r w:rsidR="00FA6FAD" w:rsidRPr="002514A8">
        <w:rPr>
          <w:rFonts w:eastAsia="Arial" w:cs="Arial"/>
        </w:rPr>
        <w:t xml:space="preserve"> seguintes responsáveis</w:t>
      </w:r>
      <w:r w:rsidR="00250B92" w:rsidRPr="002514A8">
        <w:rPr>
          <w:rFonts w:eastAsia="Arial" w:cs="Arial"/>
        </w:rPr>
        <w:t>:</w:t>
      </w:r>
    </w:p>
    <w:p w14:paraId="58392048" w14:textId="77777777" w:rsidR="00250B92" w:rsidRPr="002514A8" w:rsidRDefault="00250B92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 </w:t>
      </w:r>
      <w:r w:rsidR="004D4B06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</w:t>
      </w:r>
      <w:r w:rsidR="00212780" w:rsidRPr="002514A8">
        <w:rPr>
          <w:rFonts w:eastAsia="Arial" w:cs="Arial"/>
        </w:rPr>
        <w:t>quanto</w:t>
      </w:r>
      <w:r w:rsidR="0082200D" w:rsidRPr="002514A8">
        <w:rPr>
          <w:rFonts w:eastAsia="Arial" w:cs="Arial"/>
        </w:rPr>
        <w:t xml:space="preserve"> ao</w:t>
      </w:r>
      <w:r w:rsidR="003D393F" w:rsidRPr="002514A8">
        <w:rPr>
          <w:rFonts w:eastAsia="Arial" w:cs="Arial"/>
        </w:rPr>
        <w:t xml:space="preserve"> envio do</w:t>
      </w:r>
      <w:r w:rsidR="0082200D" w:rsidRPr="002514A8">
        <w:rPr>
          <w:rFonts w:eastAsia="Arial" w:cs="Arial"/>
        </w:rPr>
        <w:t>s dados</w:t>
      </w:r>
      <w:r w:rsidR="008B78B3" w:rsidRPr="002514A8">
        <w:rPr>
          <w:rFonts w:eastAsia="Arial" w:cs="Arial"/>
        </w:rPr>
        <w:t xml:space="preserve"> </w:t>
      </w:r>
      <w:r w:rsidR="007B0609" w:rsidRPr="002514A8">
        <w:rPr>
          <w:rFonts w:eastAsia="Arial" w:cs="Arial"/>
        </w:rPr>
        <w:t>mencionados</w:t>
      </w:r>
      <w:r w:rsidR="00212780" w:rsidRPr="002514A8">
        <w:rPr>
          <w:rFonts w:eastAsia="Arial" w:cs="Arial"/>
        </w:rPr>
        <w:t xml:space="preserve"> n</w:t>
      </w:r>
      <w:r w:rsidR="00B442D9" w:rsidRPr="002514A8">
        <w:rPr>
          <w:rFonts w:eastAsia="Arial" w:cs="Arial"/>
        </w:rPr>
        <w:t>o inciso I</w:t>
      </w:r>
      <w:r w:rsidR="00DC06DD" w:rsidRPr="002514A8">
        <w:rPr>
          <w:rFonts w:eastAsia="Arial" w:cs="Arial"/>
        </w:rPr>
        <w:t xml:space="preserve"> do</w:t>
      </w:r>
      <w:r w:rsidR="008E5ED9" w:rsidRPr="002514A8">
        <w:rPr>
          <w:rFonts w:eastAsia="Arial" w:cs="Arial"/>
        </w:rPr>
        <w:t xml:space="preserve"> art. 5º</w:t>
      </w:r>
      <w:r w:rsidR="00DC06DD" w:rsidRPr="002514A8">
        <w:rPr>
          <w:rFonts w:eastAsia="Arial" w:cs="Arial"/>
        </w:rPr>
        <w:t xml:space="preserve">, </w:t>
      </w:r>
      <w:r w:rsidR="00B442D9" w:rsidRPr="002514A8">
        <w:rPr>
          <w:rFonts w:eastAsia="Arial" w:cs="Arial"/>
        </w:rPr>
        <w:t xml:space="preserve">sobre o </w:t>
      </w:r>
      <w:r w:rsidR="00305890" w:rsidRPr="002514A8">
        <w:rPr>
          <w:rFonts w:eastAsia="Arial" w:cs="Arial"/>
        </w:rPr>
        <w:t>P</w:t>
      </w:r>
      <w:r w:rsidR="00BC15FF" w:rsidRPr="002514A8">
        <w:rPr>
          <w:rFonts w:eastAsia="Arial" w:cs="Arial"/>
        </w:rPr>
        <w:t xml:space="preserve">refeito </w:t>
      </w:r>
      <w:r w:rsidR="00305890" w:rsidRPr="002514A8">
        <w:rPr>
          <w:rFonts w:eastAsia="Arial" w:cs="Arial"/>
        </w:rPr>
        <w:t>M</w:t>
      </w:r>
      <w:r w:rsidR="00BC15FF" w:rsidRPr="002514A8">
        <w:rPr>
          <w:rFonts w:eastAsia="Arial" w:cs="Arial"/>
        </w:rPr>
        <w:t xml:space="preserve">unicipal </w:t>
      </w:r>
      <w:r w:rsidR="00DC06DD" w:rsidRPr="002514A8">
        <w:rPr>
          <w:rFonts w:eastAsia="Arial" w:cs="Arial"/>
        </w:rPr>
        <w:t>em</w:t>
      </w:r>
      <w:r w:rsidR="00CD6F56" w:rsidRPr="002514A8">
        <w:rPr>
          <w:rFonts w:eastAsia="Arial" w:cs="Arial"/>
        </w:rPr>
        <w:t xml:space="preserve"> exercício </w:t>
      </w:r>
      <w:r w:rsidR="00DC06DD" w:rsidRPr="002514A8">
        <w:rPr>
          <w:rFonts w:eastAsia="Arial" w:cs="Arial"/>
        </w:rPr>
        <w:t xml:space="preserve">nas datas previstas na Agenda de Obrigações Municipais </w:t>
      </w:r>
      <w:r w:rsidR="00531F3C" w:rsidRPr="002514A8">
        <w:rPr>
          <w:rFonts w:eastAsia="Arial" w:cs="Arial"/>
        </w:rPr>
        <w:t xml:space="preserve">a que se refere </w:t>
      </w:r>
      <w:r w:rsidR="00DC06DD" w:rsidRPr="002514A8">
        <w:rPr>
          <w:rFonts w:eastAsia="Arial" w:cs="Arial"/>
        </w:rPr>
        <w:t xml:space="preserve">o </w:t>
      </w:r>
      <w:r w:rsidR="00BD19DF" w:rsidRPr="002514A8">
        <w:rPr>
          <w:rFonts w:eastAsia="Arial" w:cs="Arial"/>
        </w:rPr>
        <w:t>art. 216-A do Regimento Interno;</w:t>
      </w:r>
    </w:p>
    <w:p w14:paraId="22985E72" w14:textId="77777777" w:rsidR="00AC6321" w:rsidRPr="002514A8" w:rsidRDefault="00AC6321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II - </w:t>
      </w:r>
      <w:r w:rsidR="00212780" w:rsidRPr="002514A8">
        <w:rPr>
          <w:rFonts w:eastAsia="Arial" w:cs="Arial"/>
        </w:rPr>
        <w:t xml:space="preserve">quanto </w:t>
      </w:r>
      <w:r w:rsidR="00BD19DF" w:rsidRPr="002514A8">
        <w:rPr>
          <w:rFonts w:eastAsia="Arial" w:cs="Arial"/>
        </w:rPr>
        <w:t>a</w:t>
      </w:r>
      <w:r w:rsidR="0096590D" w:rsidRPr="002514A8">
        <w:rPr>
          <w:rFonts w:eastAsia="Arial" w:cs="Arial"/>
        </w:rPr>
        <w:t>o envio d</w:t>
      </w:r>
      <w:r w:rsidR="00DA7F45" w:rsidRPr="002514A8">
        <w:rPr>
          <w:rFonts w:eastAsia="Arial" w:cs="Arial"/>
        </w:rPr>
        <w:t>as respostas aos formulários</w:t>
      </w:r>
      <w:r w:rsidR="00212780" w:rsidRPr="002514A8">
        <w:rPr>
          <w:rFonts w:eastAsia="Arial" w:cs="Arial"/>
        </w:rPr>
        <w:t xml:space="preserve"> </w:t>
      </w:r>
      <w:r w:rsidR="00531F3C" w:rsidRPr="002514A8">
        <w:rPr>
          <w:rFonts w:eastAsia="Arial" w:cs="Arial"/>
        </w:rPr>
        <w:t>citados</w:t>
      </w:r>
      <w:r w:rsidR="00212780" w:rsidRPr="002514A8">
        <w:rPr>
          <w:rFonts w:eastAsia="Arial" w:cs="Arial"/>
        </w:rPr>
        <w:t xml:space="preserve"> n</w:t>
      </w:r>
      <w:r w:rsidRPr="002514A8">
        <w:rPr>
          <w:rFonts w:eastAsia="Arial" w:cs="Arial"/>
        </w:rPr>
        <w:t>o</w:t>
      </w:r>
      <w:r w:rsidR="00B442D9" w:rsidRPr="002514A8">
        <w:rPr>
          <w:rFonts w:eastAsia="Arial" w:cs="Arial"/>
        </w:rPr>
        <w:t xml:space="preserve"> inciso II do</w:t>
      </w:r>
      <w:r w:rsidR="008E5ED9" w:rsidRPr="002514A8">
        <w:rPr>
          <w:rFonts w:eastAsia="Arial" w:cs="Arial"/>
        </w:rPr>
        <w:t xml:space="preserve"> art. 5º</w:t>
      </w:r>
      <w:r w:rsidR="00EF191A" w:rsidRPr="002514A8">
        <w:rPr>
          <w:rFonts w:eastAsia="Arial" w:cs="Arial"/>
        </w:rPr>
        <w:t xml:space="preserve">, </w:t>
      </w:r>
      <w:r w:rsidR="00B442D9" w:rsidRPr="002514A8">
        <w:rPr>
          <w:rFonts w:eastAsia="Arial" w:cs="Arial"/>
        </w:rPr>
        <w:t xml:space="preserve">sobre o </w:t>
      </w:r>
      <w:r w:rsidR="00305890" w:rsidRPr="002514A8">
        <w:rPr>
          <w:rFonts w:eastAsia="Arial" w:cs="Arial"/>
        </w:rPr>
        <w:t>P</w:t>
      </w:r>
      <w:r w:rsidRPr="002514A8">
        <w:rPr>
          <w:rFonts w:eastAsia="Arial" w:cs="Arial"/>
        </w:rPr>
        <w:t xml:space="preserve">refeito </w:t>
      </w:r>
      <w:r w:rsidR="00305890" w:rsidRPr="002514A8">
        <w:rPr>
          <w:rFonts w:eastAsia="Arial" w:cs="Arial"/>
        </w:rPr>
        <w:t>M</w:t>
      </w:r>
      <w:r w:rsidR="005D2D33" w:rsidRPr="002514A8">
        <w:rPr>
          <w:rFonts w:eastAsia="Arial" w:cs="Arial"/>
        </w:rPr>
        <w:t>unicipal</w:t>
      </w:r>
      <w:r w:rsidR="00D413CA" w:rsidRPr="002514A8">
        <w:rPr>
          <w:rFonts w:eastAsia="Arial" w:cs="Arial"/>
        </w:rPr>
        <w:t xml:space="preserve"> </w:t>
      </w:r>
      <w:r w:rsidR="005D2D33" w:rsidRPr="002514A8">
        <w:rPr>
          <w:rFonts w:eastAsia="Arial" w:cs="Arial"/>
        </w:rPr>
        <w:t>d</w:t>
      </w:r>
      <w:r w:rsidRPr="002514A8">
        <w:rPr>
          <w:rFonts w:eastAsia="Arial" w:cs="Arial"/>
        </w:rPr>
        <w:t>o exercício de competência das contas</w:t>
      </w:r>
      <w:r w:rsidR="00A345C2" w:rsidRPr="002514A8">
        <w:rPr>
          <w:rFonts w:eastAsia="Arial" w:cs="Arial"/>
        </w:rPr>
        <w:t>,</w:t>
      </w:r>
      <w:r w:rsidR="00FB22CC" w:rsidRPr="002514A8">
        <w:rPr>
          <w:rFonts w:eastAsia="Arial" w:cs="Arial"/>
        </w:rPr>
        <w:t xml:space="preserve"> no período definido nos termos do</w:t>
      </w:r>
      <w:r w:rsidR="00BE4965" w:rsidRPr="002514A8">
        <w:rPr>
          <w:rFonts w:eastAsia="Arial" w:cs="Arial"/>
        </w:rPr>
        <w:t xml:space="preserve"> § </w:t>
      </w:r>
      <w:r w:rsidR="002E4582" w:rsidRPr="002514A8">
        <w:rPr>
          <w:rFonts w:eastAsia="Arial" w:cs="Arial"/>
        </w:rPr>
        <w:t>3</w:t>
      </w:r>
      <w:r w:rsidR="00BE4965" w:rsidRPr="002514A8">
        <w:rPr>
          <w:rFonts w:eastAsia="Arial" w:cs="Arial"/>
        </w:rPr>
        <w:t>º do</w:t>
      </w:r>
      <w:r w:rsidR="00E75E66" w:rsidRPr="002514A8">
        <w:rPr>
          <w:rFonts w:eastAsia="Arial" w:cs="Arial"/>
        </w:rPr>
        <w:t xml:space="preserve"> art. 7º</w:t>
      </w:r>
      <w:r w:rsidR="00DC06DD" w:rsidRPr="002514A8">
        <w:rPr>
          <w:rFonts w:eastAsia="Arial" w:cs="Arial"/>
        </w:rPr>
        <w:t>;</w:t>
      </w:r>
    </w:p>
    <w:p w14:paraId="4A6C11A8" w14:textId="77777777" w:rsidR="00DC06DD" w:rsidRPr="002514A8" w:rsidRDefault="00BD19DF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III - quanto ao envio d</w:t>
      </w:r>
      <w:r w:rsidR="00DC06DD" w:rsidRPr="002514A8">
        <w:rPr>
          <w:rFonts w:eastAsia="Arial" w:cs="Arial"/>
        </w:rPr>
        <w:t>os documentos referidos no inciso III do</w:t>
      </w:r>
      <w:r w:rsidR="008E5ED9" w:rsidRPr="002514A8">
        <w:rPr>
          <w:rFonts w:eastAsia="Arial" w:cs="Arial"/>
        </w:rPr>
        <w:t xml:space="preserve"> art. 5º</w:t>
      </w:r>
      <w:r w:rsidR="00DC06DD" w:rsidRPr="002514A8">
        <w:rPr>
          <w:rFonts w:eastAsia="Arial" w:cs="Arial"/>
        </w:rPr>
        <w:t>, sobre o Prefeito Municipal do exercício seguinte ao de competência das contas.</w:t>
      </w:r>
    </w:p>
    <w:p w14:paraId="2EEE367E" w14:textId="77777777" w:rsidR="00F90983" w:rsidRPr="002514A8" w:rsidRDefault="00F90983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Parágrafo único. Os responsáveis </w:t>
      </w:r>
      <w:r w:rsidR="00E429F8" w:rsidRPr="002514A8">
        <w:rPr>
          <w:rFonts w:eastAsia="Arial" w:cs="Arial"/>
        </w:rPr>
        <w:t>mencionados n</w:t>
      </w:r>
      <w:r w:rsidRPr="002514A8">
        <w:rPr>
          <w:rFonts w:eastAsia="Arial" w:cs="Arial"/>
        </w:rPr>
        <w:t xml:space="preserve">os incisos do </w:t>
      </w:r>
      <w:r w:rsidRPr="002514A8">
        <w:rPr>
          <w:rFonts w:eastAsia="Arial" w:cs="Arial"/>
          <w:i/>
          <w:iCs/>
        </w:rPr>
        <w:t>caput</w:t>
      </w:r>
      <w:r w:rsidRPr="002514A8">
        <w:rPr>
          <w:rFonts w:eastAsia="Arial" w:cs="Arial"/>
        </w:rPr>
        <w:t xml:space="preserve"> respondem</w:t>
      </w:r>
      <w:r w:rsidR="00B13C21" w:rsidRPr="002514A8">
        <w:rPr>
          <w:rFonts w:eastAsia="Arial" w:cs="Arial"/>
        </w:rPr>
        <w:t xml:space="preserve"> </w:t>
      </w:r>
      <w:r w:rsidRPr="002514A8">
        <w:rPr>
          <w:rFonts w:eastAsia="Arial" w:cs="Arial"/>
        </w:rPr>
        <w:t>pelas penalidades no caso de descumprimento da</w:t>
      </w:r>
      <w:r w:rsidR="00387668" w:rsidRPr="002514A8">
        <w:rPr>
          <w:rFonts w:eastAsia="Arial" w:cs="Arial"/>
        </w:rPr>
        <w:t>s</w:t>
      </w:r>
      <w:r w:rsidRPr="002514A8">
        <w:rPr>
          <w:rFonts w:eastAsia="Arial" w:cs="Arial"/>
        </w:rPr>
        <w:t xml:space="preserve"> obrigaç</w:t>
      </w:r>
      <w:r w:rsidR="00387668" w:rsidRPr="002514A8">
        <w:rPr>
          <w:rFonts w:eastAsia="Arial" w:cs="Arial"/>
        </w:rPr>
        <w:t>ões</w:t>
      </w:r>
      <w:r w:rsidRPr="002514A8">
        <w:rPr>
          <w:rFonts w:eastAsia="Arial" w:cs="Arial"/>
        </w:rPr>
        <w:t xml:space="preserve"> referida</w:t>
      </w:r>
      <w:r w:rsidR="00387668" w:rsidRPr="002514A8">
        <w:rPr>
          <w:rFonts w:eastAsia="Arial" w:cs="Arial"/>
        </w:rPr>
        <w:t>s</w:t>
      </w:r>
      <w:r w:rsidRPr="002514A8">
        <w:rPr>
          <w:rFonts w:eastAsia="Arial" w:cs="Arial"/>
        </w:rPr>
        <w:t xml:space="preserve"> </w:t>
      </w:r>
      <w:r w:rsidR="008313E1" w:rsidRPr="002514A8">
        <w:rPr>
          <w:rFonts w:eastAsia="Arial" w:cs="Arial"/>
        </w:rPr>
        <w:t>neste artigo</w:t>
      </w:r>
      <w:r w:rsidR="00610D35" w:rsidRPr="002514A8">
        <w:rPr>
          <w:rFonts w:eastAsia="Arial" w:cs="Arial"/>
        </w:rPr>
        <w:t xml:space="preserve"> </w:t>
      </w:r>
      <w:r w:rsidR="007B0609" w:rsidRPr="002514A8">
        <w:rPr>
          <w:rFonts w:eastAsia="Arial" w:cs="Arial"/>
        </w:rPr>
        <w:t>naquilo a que</w:t>
      </w:r>
      <w:r w:rsidR="00610D35" w:rsidRPr="002514A8">
        <w:rPr>
          <w:rFonts w:eastAsia="Arial" w:cs="Arial"/>
        </w:rPr>
        <w:t xml:space="preserve"> derem causa,</w:t>
      </w:r>
      <w:r w:rsidR="00A062B3" w:rsidRPr="002514A8">
        <w:rPr>
          <w:rFonts w:eastAsia="Arial" w:cs="Arial"/>
        </w:rPr>
        <w:t xml:space="preserve"> a serem apuradas na forma do parágrafo único do</w:t>
      </w:r>
      <w:r w:rsidR="008E5ED9" w:rsidRPr="002514A8">
        <w:rPr>
          <w:rFonts w:eastAsia="Arial" w:cs="Arial"/>
        </w:rPr>
        <w:t xml:space="preserve"> art. 2º</w:t>
      </w:r>
      <w:r w:rsidR="00766F1B" w:rsidRPr="002514A8">
        <w:rPr>
          <w:rFonts w:eastAsia="Arial" w:cs="Arial"/>
        </w:rPr>
        <w:t>.</w:t>
      </w:r>
    </w:p>
    <w:p w14:paraId="03AD5F29" w14:textId="77777777" w:rsidR="009E1C33" w:rsidRPr="002514A8" w:rsidRDefault="002A1AB0" w:rsidP="00CE423B">
      <w:pPr>
        <w:pStyle w:val="Ttulo3"/>
        <w:spacing w:after="0"/>
        <w:rPr>
          <w:rFonts w:eastAsia="Arial" w:cs="Arial"/>
        </w:rPr>
      </w:pPr>
      <w:bookmarkStart w:id="60" w:name="_Toc103326113"/>
      <w:bookmarkStart w:id="61" w:name="_Toc104385377"/>
      <w:bookmarkStart w:id="62" w:name="_Toc108448548"/>
      <w:bookmarkEnd w:id="59"/>
      <w:r w:rsidRPr="002514A8">
        <w:rPr>
          <w:rFonts w:eastAsia="Arial" w:cs="Arial"/>
        </w:rPr>
        <w:t>Subseção</w:t>
      </w:r>
      <w:r w:rsidR="002A0EA7" w:rsidRPr="002514A8">
        <w:rPr>
          <w:rFonts w:eastAsia="Arial" w:cs="Arial"/>
        </w:rPr>
        <w:t xml:space="preserve"> </w:t>
      </w:r>
      <w:r w:rsidR="0065395C" w:rsidRPr="002514A8">
        <w:rPr>
          <w:rFonts w:eastAsia="Arial" w:cs="Arial"/>
        </w:rPr>
        <w:t>I</w:t>
      </w:r>
      <w:bookmarkEnd w:id="60"/>
      <w:bookmarkEnd w:id="61"/>
      <w:bookmarkEnd w:id="62"/>
    </w:p>
    <w:p w14:paraId="2D286423" w14:textId="77777777" w:rsidR="002A0EA7" w:rsidRPr="002514A8" w:rsidRDefault="002A1AB0" w:rsidP="00BE44CA">
      <w:pPr>
        <w:pStyle w:val="Ttulo3"/>
        <w:spacing w:before="0" w:after="240"/>
        <w:rPr>
          <w:rFonts w:eastAsia="Arial" w:cs="Arial"/>
          <w:strike/>
        </w:rPr>
      </w:pPr>
      <w:bookmarkStart w:id="63" w:name="_Toc103326114"/>
      <w:bookmarkStart w:id="64" w:name="_Toc104385378"/>
      <w:bookmarkStart w:id="65" w:name="_Toc108448549"/>
      <w:r w:rsidRPr="002514A8">
        <w:rPr>
          <w:rFonts w:eastAsia="Arial" w:cs="Arial"/>
        </w:rPr>
        <w:t>Do Cadastro no Sistema de Cadastro do Tribunal de Contas - SICAD</w:t>
      </w:r>
      <w:bookmarkEnd w:id="63"/>
      <w:bookmarkEnd w:id="64"/>
      <w:bookmarkEnd w:id="65"/>
    </w:p>
    <w:p w14:paraId="01966E0E" w14:textId="77777777" w:rsidR="00935687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12. </w:t>
      </w:r>
      <w:r w:rsidR="00935687" w:rsidRPr="002514A8">
        <w:rPr>
          <w:rFonts w:eastAsia="Arial" w:cs="Arial"/>
        </w:rPr>
        <w:t>O</w:t>
      </w:r>
      <w:r w:rsidR="002E5170" w:rsidRPr="002514A8">
        <w:rPr>
          <w:rFonts w:eastAsia="Arial" w:cs="Arial"/>
        </w:rPr>
        <w:t xml:space="preserve"> recebimento da </w:t>
      </w:r>
      <w:r w:rsidR="00F97AB5" w:rsidRPr="002514A8">
        <w:rPr>
          <w:rFonts w:eastAsia="Arial" w:cs="Arial"/>
        </w:rPr>
        <w:t>p</w:t>
      </w:r>
      <w:r w:rsidR="008C2C4A" w:rsidRPr="002514A8">
        <w:rPr>
          <w:rFonts w:eastAsia="Arial" w:cs="Arial"/>
        </w:rPr>
        <w:t xml:space="preserve">restação de </w:t>
      </w:r>
      <w:r w:rsidR="00F97AB5" w:rsidRPr="002514A8">
        <w:rPr>
          <w:rFonts w:eastAsia="Arial" w:cs="Arial"/>
        </w:rPr>
        <w:t>c</w:t>
      </w:r>
      <w:r w:rsidR="008C2C4A" w:rsidRPr="002514A8">
        <w:rPr>
          <w:rFonts w:eastAsia="Arial" w:cs="Arial"/>
        </w:rPr>
        <w:t>ontas</w:t>
      </w:r>
      <w:r w:rsidR="002E5170" w:rsidRPr="002514A8">
        <w:rPr>
          <w:rFonts w:eastAsia="Arial" w:cs="Arial"/>
        </w:rPr>
        <w:t xml:space="preserve"> fica condicionado à identificação dos seguintes responsáveis no Sistema de Cadastro do Tribunal de Contas (SICAD), indicando-se as datas de início e fim dos períodos de responsabilidade</w:t>
      </w:r>
      <w:r w:rsidR="00B17EC8" w:rsidRPr="002514A8">
        <w:rPr>
          <w:rFonts w:eastAsia="Arial" w:cs="Arial"/>
        </w:rPr>
        <w:t>:</w:t>
      </w:r>
    </w:p>
    <w:p w14:paraId="0308D2AD" w14:textId="77777777" w:rsidR="002E5170" w:rsidRPr="002514A8" w:rsidRDefault="002E5170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 - </w:t>
      </w:r>
      <w:r w:rsidR="00B44A67" w:rsidRPr="002514A8">
        <w:rPr>
          <w:rFonts w:eastAsia="Arial" w:cs="Arial"/>
        </w:rPr>
        <w:t>p</w:t>
      </w:r>
      <w:r w:rsidRPr="002514A8">
        <w:rPr>
          <w:rFonts w:eastAsia="Arial" w:cs="Arial"/>
        </w:rPr>
        <w:t xml:space="preserve">refeito(s) </w:t>
      </w:r>
      <w:r w:rsidR="00B44A67" w:rsidRPr="002514A8">
        <w:rPr>
          <w:rFonts w:eastAsia="Arial" w:cs="Arial"/>
        </w:rPr>
        <w:t>municipal</w:t>
      </w:r>
      <w:r w:rsidRPr="002514A8">
        <w:rPr>
          <w:rFonts w:eastAsia="Arial" w:cs="Arial"/>
        </w:rPr>
        <w:t>(</w:t>
      </w:r>
      <w:proofErr w:type="spellStart"/>
      <w:r w:rsidRPr="002514A8">
        <w:rPr>
          <w:rFonts w:eastAsia="Arial" w:cs="Arial"/>
        </w:rPr>
        <w:t>is</w:t>
      </w:r>
      <w:proofErr w:type="spellEnd"/>
      <w:r w:rsidRPr="002514A8">
        <w:rPr>
          <w:rFonts w:eastAsia="Arial" w:cs="Arial"/>
        </w:rPr>
        <w:t>) que respondeu(</w:t>
      </w:r>
      <w:proofErr w:type="spellStart"/>
      <w:r w:rsidRPr="002514A8">
        <w:rPr>
          <w:rFonts w:eastAsia="Arial" w:cs="Arial"/>
        </w:rPr>
        <w:t>ram</w:t>
      </w:r>
      <w:proofErr w:type="spellEnd"/>
      <w:r w:rsidRPr="002514A8">
        <w:rPr>
          <w:rFonts w:eastAsia="Arial" w:cs="Arial"/>
        </w:rPr>
        <w:t xml:space="preserve">) </w:t>
      </w:r>
      <w:r w:rsidR="00552376" w:rsidRPr="002514A8">
        <w:rPr>
          <w:rFonts w:eastAsia="Arial" w:cs="Arial"/>
        </w:rPr>
        <w:t>pelo Município</w:t>
      </w:r>
      <w:r w:rsidRPr="002514A8">
        <w:rPr>
          <w:rFonts w:eastAsia="Arial" w:cs="Arial"/>
        </w:rPr>
        <w:t xml:space="preserve"> no exercício de competência da </w:t>
      </w:r>
      <w:r w:rsidR="00552376" w:rsidRPr="002514A8">
        <w:rPr>
          <w:rFonts w:eastAsia="Arial" w:cs="Arial"/>
        </w:rPr>
        <w:t>p</w:t>
      </w:r>
      <w:r w:rsidR="008C2C4A" w:rsidRPr="002514A8">
        <w:rPr>
          <w:rFonts w:eastAsia="Arial" w:cs="Arial"/>
        </w:rPr>
        <w:t xml:space="preserve">restação de </w:t>
      </w:r>
      <w:r w:rsidR="00552376" w:rsidRPr="002514A8">
        <w:rPr>
          <w:rFonts w:eastAsia="Arial" w:cs="Arial"/>
        </w:rPr>
        <w:t>c</w:t>
      </w:r>
      <w:r w:rsidR="008C2C4A" w:rsidRPr="002514A8">
        <w:rPr>
          <w:rFonts w:eastAsia="Arial" w:cs="Arial"/>
        </w:rPr>
        <w:t>ontas</w:t>
      </w:r>
      <w:r w:rsidRPr="002514A8">
        <w:rPr>
          <w:rFonts w:eastAsia="Arial" w:cs="Arial"/>
        </w:rPr>
        <w:t>;</w:t>
      </w:r>
    </w:p>
    <w:p w14:paraId="0486E42F" w14:textId="77777777" w:rsidR="002B2167" w:rsidRPr="002514A8" w:rsidRDefault="002B216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II </w:t>
      </w:r>
      <w:r w:rsidR="00A965C6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</w:t>
      </w:r>
      <w:r w:rsidR="00B44A67" w:rsidRPr="002514A8">
        <w:rPr>
          <w:rFonts w:eastAsia="Arial" w:cs="Arial"/>
        </w:rPr>
        <w:t>p</w:t>
      </w:r>
      <w:r w:rsidRPr="002514A8">
        <w:rPr>
          <w:rFonts w:eastAsia="Arial" w:cs="Arial"/>
        </w:rPr>
        <w:t>refeito</w:t>
      </w:r>
      <w:r w:rsidR="00B44A67" w:rsidRPr="002514A8">
        <w:rPr>
          <w:rFonts w:eastAsia="Arial" w:cs="Arial"/>
        </w:rPr>
        <w:t>(s)</w:t>
      </w:r>
      <w:r w:rsidRPr="002514A8">
        <w:rPr>
          <w:rFonts w:eastAsia="Arial" w:cs="Arial"/>
        </w:rPr>
        <w:t xml:space="preserve"> </w:t>
      </w:r>
      <w:r w:rsidR="00B44A67" w:rsidRPr="002514A8">
        <w:rPr>
          <w:rFonts w:eastAsia="Arial" w:cs="Arial"/>
        </w:rPr>
        <w:t>municipal(</w:t>
      </w:r>
      <w:proofErr w:type="spellStart"/>
      <w:r w:rsidR="00B44A67" w:rsidRPr="002514A8">
        <w:rPr>
          <w:rFonts w:eastAsia="Arial" w:cs="Arial"/>
        </w:rPr>
        <w:t>is</w:t>
      </w:r>
      <w:proofErr w:type="spellEnd"/>
      <w:r w:rsidR="00B44A67" w:rsidRPr="002514A8">
        <w:rPr>
          <w:rFonts w:eastAsia="Arial" w:cs="Arial"/>
        </w:rPr>
        <w:t xml:space="preserve">) </w:t>
      </w:r>
      <w:r w:rsidRPr="002514A8">
        <w:rPr>
          <w:rFonts w:eastAsia="Arial" w:cs="Arial"/>
        </w:rPr>
        <w:t>atual</w:t>
      </w:r>
      <w:r w:rsidR="005C35A1" w:rsidRPr="002514A8">
        <w:rPr>
          <w:rFonts w:eastAsia="Arial" w:cs="Arial"/>
        </w:rPr>
        <w:t>(</w:t>
      </w:r>
      <w:proofErr w:type="spellStart"/>
      <w:r w:rsidR="005C35A1" w:rsidRPr="002514A8">
        <w:rPr>
          <w:rFonts w:eastAsia="Arial" w:cs="Arial"/>
        </w:rPr>
        <w:t>is</w:t>
      </w:r>
      <w:proofErr w:type="spellEnd"/>
      <w:r w:rsidR="005C35A1" w:rsidRPr="002514A8">
        <w:rPr>
          <w:rFonts w:eastAsia="Arial" w:cs="Arial"/>
        </w:rPr>
        <w:t>)</w:t>
      </w:r>
      <w:r w:rsidR="00552376" w:rsidRPr="002514A8">
        <w:rPr>
          <w:rFonts w:eastAsia="Arial" w:cs="Arial"/>
        </w:rPr>
        <w:t xml:space="preserve">, </w:t>
      </w:r>
      <w:r w:rsidR="00524642" w:rsidRPr="002514A8">
        <w:rPr>
          <w:rFonts w:eastAsia="Arial" w:cs="Arial"/>
        </w:rPr>
        <w:t>que respondeu(</w:t>
      </w:r>
      <w:proofErr w:type="spellStart"/>
      <w:r w:rsidR="00524642" w:rsidRPr="002514A8">
        <w:rPr>
          <w:rFonts w:eastAsia="Arial" w:cs="Arial"/>
        </w:rPr>
        <w:t>ram</w:t>
      </w:r>
      <w:proofErr w:type="spellEnd"/>
      <w:r w:rsidR="00524642" w:rsidRPr="002514A8">
        <w:rPr>
          <w:rFonts w:eastAsia="Arial" w:cs="Arial"/>
        </w:rPr>
        <w:t>) pelo Município no exercício seguinte ao de competência da prestação de contas</w:t>
      </w:r>
      <w:r w:rsidR="00A062B3" w:rsidRPr="002514A8">
        <w:rPr>
          <w:rFonts w:eastAsia="Arial" w:cs="Arial"/>
        </w:rPr>
        <w:t>.</w:t>
      </w:r>
    </w:p>
    <w:p w14:paraId="45EC99EE" w14:textId="77777777" w:rsidR="002E5170" w:rsidRPr="002514A8" w:rsidRDefault="002E5170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§ 1º A ausência de cadastro ou a</w:t>
      </w:r>
      <w:r w:rsidR="00F91626" w:rsidRPr="002514A8">
        <w:rPr>
          <w:rFonts w:eastAsia="Arial" w:cs="Arial"/>
        </w:rPr>
        <w:t xml:space="preserve"> sua</w:t>
      </w:r>
      <w:r w:rsidRPr="002514A8">
        <w:rPr>
          <w:rFonts w:eastAsia="Arial" w:cs="Arial"/>
        </w:rPr>
        <w:t xml:space="preserve"> falta de atualização poderá acarretar a aplicação de sanções legal e regimentalmente previstas</w:t>
      </w:r>
      <w:r w:rsidR="005A4EB6" w:rsidRPr="002514A8">
        <w:rPr>
          <w:rFonts w:eastAsia="Arial" w:cs="Arial"/>
        </w:rPr>
        <w:t>, a serem apuradas nos termos do parágrafo único do</w:t>
      </w:r>
      <w:r w:rsidR="008E5ED9" w:rsidRPr="002514A8">
        <w:rPr>
          <w:rFonts w:eastAsia="Arial" w:cs="Arial"/>
        </w:rPr>
        <w:t xml:space="preserve"> art. 2º</w:t>
      </w:r>
      <w:r w:rsidR="005A4EB6" w:rsidRPr="002514A8">
        <w:rPr>
          <w:rFonts w:eastAsia="Arial" w:cs="Arial"/>
        </w:rPr>
        <w:t>.</w:t>
      </w:r>
    </w:p>
    <w:p w14:paraId="20DA092A" w14:textId="0286781D" w:rsidR="002E5170" w:rsidRPr="002514A8" w:rsidRDefault="002E5170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524642" w:rsidRPr="002514A8">
        <w:rPr>
          <w:rFonts w:eastAsia="Arial" w:cs="Arial"/>
        </w:rPr>
        <w:t>2</w:t>
      </w:r>
      <w:r w:rsidRPr="002514A8">
        <w:rPr>
          <w:rFonts w:eastAsia="Arial" w:cs="Arial"/>
        </w:rPr>
        <w:t xml:space="preserve">º </w:t>
      </w:r>
      <w:r w:rsidR="00832F28" w:rsidRPr="002514A8">
        <w:rPr>
          <w:rFonts w:eastAsia="Arial" w:cs="Arial"/>
        </w:rPr>
        <w:t>N</w:t>
      </w:r>
      <w:r w:rsidRPr="002514A8">
        <w:rPr>
          <w:rFonts w:eastAsia="Arial" w:cs="Arial"/>
        </w:rPr>
        <w:t xml:space="preserve">o envio da </w:t>
      </w:r>
      <w:r w:rsidR="00F97AB5" w:rsidRPr="002514A8">
        <w:rPr>
          <w:rFonts w:eastAsia="Arial" w:cs="Arial"/>
        </w:rPr>
        <w:t>p</w:t>
      </w:r>
      <w:r w:rsidR="008C2C4A" w:rsidRPr="002514A8">
        <w:rPr>
          <w:rFonts w:eastAsia="Arial" w:cs="Arial"/>
        </w:rPr>
        <w:t xml:space="preserve">restação de </w:t>
      </w:r>
      <w:r w:rsidR="00F97AB5" w:rsidRPr="002514A8">
        <w:rPr>
          <w:rFonts w:eastAsia="Arial" w:cs="Arial"/>
        </w:rPr>
        <w:t>c</w:t>
      </w:r>
      <w:r w:rsidR="008C2C4A" w:rsidRPr="002514A8">
        <w:rPr>
          <w:rFonts w:eastAsia="Arial" w:cs="Arial"/>
        </w:rPr>
        <w:t>ontas</w:t>
      </w:r>
      <w:r w:rsidRPr="002514A8">
        <w:rPr>
          <w:rFonts w:eastAsia="Arial" w:cs="Arial"/>
        </w:rPr>
        <w:t>, o responsável pelo encaminhamento revisará, atualizará e confirmará a veracidade das informações cadastrais do SICAD, mediante preenchimento de formulário e assinatura de termo que integrará os respectivos autos</w:t>
      </w:r>
      <w:r w:rsidR="00832F28" w:rsidRPr="002514A8">
        <w:rPr>
          <w:rFonts w:eastAsia="Arial" w:cs="Arial"/>
        </w:rPr>
        <w:t xml:space="preserve">, nos termos do § 3º do art. 20 da </w:t>
      </w:r>
      <w:hyperlink r:id="rId14" w:history="1">
        <w:r w:rsidR="00832F28" w:rsidRPr="007D5C8A">
          <w:rPr>
            <w:rStyle w:val="Hyperlink"/>
            <w:rFonts w:eastAsia="Arial" w:cs="Arial"/>
          </w:rPr>
          <w:t>Instrução Normativa nº 86, de 20 de dezembro de 2012</w:t>
        </w:r>
      </w:hyperlink>
      <w:r w:rsidR="00832F28" w:rsidRPr="002514A8">
        <w:rPr>
          <w:rFonts w:eastAsia="Arial" w:cs="Arial"/>
        </w:rPr>
        <w:t xml:space="preserve">, com redação alterada pela </w:t>
      </w:r>
      <w:hyperlink r:id="rId15" w:history="1">
        <w:r w:rsidR="00832F28" w:rsidRPr="007D5C8A">
          <w:rPr>
            <w:rStyle w:val="Hyperlink"/>
            <w:rFonts w:eastAsia="Arial" w:cs="Arial"/>
          </w:rPr>
          <w:t>Instrução Normativa nº 170, de 13 de janeiro de 2022</w:t>
        </w:r>
      </w:hyperlink>
      <w:r w:rsidRPr="002514A8">
        <w:rPr>
          <w:rFonts w:eastAsia="Arial" w:cs="Arial"/>
        </w:rPr>
        <w:t>.</w:t>
      </w:r>
    </w:p>
    <w:p w14:paraId="679E587D" w14:textId="77777777" w:rsidR="000A425C" w:rsidRPr="002514A8" w:rsidRDefault="00A55139" w:rsidP="00CE423B">
      <w:pPr>
        <w:pStyle w:val="Ttulo3"/>
        <w:spacing w:after="0"/>
        <w:rPr>
          <w:rFonts w:eastAsia="Arial" w:cs="Arial"/>
        </w:rPr>
      </w:pPr>
      <w:bookmarkStart w:id="66" w:name="_Toc103326115"/>
      <w:bookmarkStart w:id="67" w:name="_Toc104385379"/>
      <w:bookmarkStart w:id="68" w:name="_Toc108448550"/>
      <w:r w:rsidRPr="002514A8">
        <w:rPr>
          <w:rFonts w:eastAsia="Arial" w:cs="Arial"/>
        </w:rPr>
        <w:t>Subseção</w:t>
      </w:r>
      <w:r w:rsidR="000A425C" w:rsidRPr="002514A8">
        <w:rPr>
          <w:rFonts w:eastAsia="Arial" w:cs="Arial"/>
        </w:rPr>
        <w:t xml:space="preserve"> </w:t>
      </w:r>
      <w:r w:rsidR="0065395C" w:rsidRPr="002514A8">
        <w:rPr>
          <w:rFonts w:eastAsia="Arial" w:cs="Arial"/>
        </w:rPr>
        <w:t>II</w:t>
      </w:r>
      <w:bookmarkEnd w:id="66"/>
      <w:bookmarkEnd w:id="67"/>
      <w:bookmarkEnd w:id="68"/>
    </w:p>
    <w:p w14:paraId="40B59125" w14:textId="77777777" w:rsidR="004E50D2" w:rsidRPr="002514A8" w:rsidRDefault="00A55139" w:rsidP="00BE44CA">
      <w:pPr>
        <w:pStyle w:val="Ttulo3"/>
        <w:spacing w:before="0" w:after="240"/>
        <w:rPr>
          <w:rFonts w:eastAsia="Arial" w:cs="Arial"/>
        </w:rPr>
      </w:pPr>
      <w:bookmarkStart w:id="69" w:name="_Toc103326116"/>
      <w:bookmarkStart w:id="70" w:name="_Toc104385380"/>
      <w:bookmarkStart w:id="71" w:name="_Toc108448551"/>
      <w:r w:rsidRPr="002514A8">
        <w:rPr>
          <w:rFonts w:eastAsia="Arial" w:cs="Arial"/>
        </w:rPr>
        <w:t>Do Cadastro dos Interlocutores Municipais</w:t>
      </w:r>
      <w:bookmarkEnd w:id="69"/>
      <w:bookmarkEnd w:id="70"/>
      <w:bookmarkEnd w:id="71"/>
    </w:p>
    <w:p w14:paraId="108E1B33" w14:textId="77777777" w:rsidR="002A0EA7" w:rsidRPr="002514A8" w:rsidRDefault="00A42C3E" w:rsidP="00C2083B">
      <w:pPr>
        <w:spacing w:after="0"/>
        <w:rPr>
          <w:rFonts w:eastAsia="Arial" w:cs="Arial"/>
        </w:rPr>
      </w:pPr>
      <w:bookmarkStart w:id="72" w:name="_Ref98145500"/>
      <w:r w:rsidRPr="002514A8">
        <w:rPr>
          <w:rFonts w:eastAsia="Arial" w:cs="Arial"/>
          <w:b/>
          <w:bCs/>
        </w:rPr>
        <w:t xml:space="preserve">Art. 13. </w:t>
      </w:r>
      <w:r w:rsidR="003B569A" w:rsidRPr="002514A8">
        <w:rPr>
          <w:rFonts w:eastAsia="Arial" w:cs="Arial"/>
        </w:rPr>
        <w:t>O</w:t>
      </w:r>
      <w:r w:rsidR="008001C9" w:rsidRPr="002514A8">
        <w:rPr>
          <w:rFonts w:eastAsia="Arial" w:cs="Arial"/>
        </w:rPr>
        <w:t xml:space="preserve"> Prefeito Municipal deverá manter</w:t>
      </w:r>
      <w:r w:rsidR="003B569A" w:rsidRPr="002514A8">
        <w:rPr>
          <w:rFonts w:eastAsia="Arial" w:cs="Arial"/>
        </w:rPr>
        <w:t xml:space="preserve"> </w:t>
      </w:r>
      <w:r w:rsidR="008001C9" w:rsidRPr="002514A8">
        <w:rPr>
          <w:rFonts w:eastAsia="Arial" w:cs="Arial"/>
        </w:rPr>
        <w:t xml:space="preserve">cadastro </w:t>
      </w:r>
      <w:r w:rsidR="002C4107" w:rsidRPr="002514A8">
        <w:rPr>
          <w:rFonts w:eastAsia="Arial" w:cs="Arial"/>
        </w:rPr>
        <w:t xml:space="preserve">atualizado </w:t>
      </w:r>
      <w:r w:rsidR="008001C9" w:rsidRPr="002514A8">
        <w:rPr>
          <w:rFonts w:eastAsia="Arial" w:cs="Arial"/>
        </w:rPr>
        <w:t>d</w:t>
      </w:r>
      <w:r w:rsidR="0003587D" w:rsidRPr="002514A8">
        <w:rPr>
          <w:rFonts w:eastAsia="Arial" w:cs="Arial"/>
        </w:rPr>
        <w:t xml:space="preserve">os </w:t>
      </w:r>
      <w:r w:rsidR="0077640F" w:rsidRPr="002514A8">
        <w:rPr>
          <w:rFonts w:eastAsia="Arial" w:cs="Arial"/>
        </w:rPr>
        <w:t>interlocutores</w:t>
      </w:r>
      <w:r w:rsidR="00124BC7" w:rsidRPr="002514A8">
        <w:rPr>
          <w:rFonts w:eastAsia="Arial" w:cs="Arial"/>
        </w:rPr>
        <w:t xml:space="preserve"> municipais</w:t>
      </w:r>
      <w:r w:rsidR="0003587D" w:rsidRPr="002514A8">
        <w:rPr>
          <w:rFonts w:eastAsia="Arial" w:cs="Arial"/>
        </w:rPr>
        <w:t xml:space="preserve"> junto ao Tribunal de Contas</w:t>
      </w:r>
      <w:bookmarkEnd w:id="72"/>
      <w:r w:rsidR="003B569A" w:rsidRPr="002514A8">
        <w:rPr>
          <w:rFonts w:eastAsia="Arial" w:cs="Arial"/>
        </w:rPr>
        <w:t xml:space="preserve">, conforme disposto no § </w:t>
      </w:r>
      <w:r w:rsidR="00F57632" w:rsidRPr="002514A8">
        <w:rPr>
          <w:rFonts w:eastAsia="Arial" w:cs="Arial"/>
        </w:rPr>
        <w:t>1</w:t>
      </w:r>
      <w:r w:rsidR="003B569A" w:rsidRPr="002514A8">
        <w:rPr>
          <w:rFonts w:eastAsia="Arial" w:cs="Arial"/>
        </w:rPr>
        <w:t>º do</w:t>
      </w:r>
      <w:r w:rsidR="008E5ED9" w:rsidRPr="002514A8">
        <w:rPr>
          <w:rFonts w:eastAsia="Arial" w:cs="Arial"/>
        </w:rPr>
        <w:t xml:space="preserve"> art. 8º</w:t>
      </w:r>
      <w:r w:rsidR="007B0609" w:rsidRPr="002514A8">
        <w:rPr>
          <w:rFonts w:eastAsia="Arial" w:cs="Arial"/>
        </w:rPr>
        <w:t>.</w:t>
      </w:r>
    </w:p>
    <w:p w14:paraId="36B63670" w14:textId="77777777" w:rsidR="00683724" w:rsidRPr="002514A8" w:rsidRDefault="00A42C3E" w:rsidP="00C2083B">
      <w:pPr>
        <w:spacing w:after="0"/>
        <w:rPr>
          <w:rFonts w:eastAsia="Arial" w:cs="Arial"/>
        </w:rPr>
      </w:pPr>
      <w:bookmarkStart w:id="73" w:name="_Ref98323464"/>
      <w:r w:rsidRPr="002514A8">
        <w:rPr>
          <w:rFonts w:eastAsia="Arial" w:cs="Arial"/>
          <w:b/>
          <w:bCs/>
        </w:rPr>
        <w:lastRenderedPageBreak/>
        <w:t xml:space="preserve">Art. 14. </w:t>
      </w:r>
      <w:r w:rsidR="000228E8" w:rsidRPr="002514A8">
        <w:rPr>
          <w:rFonts w:eastAsia="Arial" w:cs="Arial"/>
        </w:rPr>
        <w:t xml:space="preserve">O cadastramento dos responsáveis pelo envio dos formulários de que trata o inciso III do art. 5º ao </w:t>
      </w:r>
      <w:r w:rsidR="007B0609" w:rsidRPr="002514A8">
        <w:rPr>
          <w:rFonts w:eastAsia="Arial" w:cs="Arial"/>
        </w:rPr>
        <w:t>Tribunal de Contas</w:t>
      </w:r>
      <w:r w:rsidR="00D51558" w:rsidRPr="002514A8">
        <w:rPr>
          <w:rFonts w:eastAsia="Arial" w:cs="Arial"/>
        </w:rPr>
        <w:t xml:space="preserve"> será realizado po</w:t>
      </w:r>
      <w:r w:rsidR="00882967" w:rsidRPr="002514A8">
        <w:rPr>
          <w:rFonts w:eastAsia="Arial" w:cs="Arial"/>
        </w:rPr>
        <w:t xml:space="preserve">r meio de </w:t>
      </w:r>
      <w:r w:rsidR="00683724" w:rsidRPr="002514A8">
        <w:rPr>
          <w:rFonts w:eastAsia="Arial" w:cs="Arial"/>
        </w:rPr>
        <w:t>disponibiliza</w:t>
      </w:r>
      <w:r w:rsidR="00882967" w:rsidRPr="002514A8">
        <w:rPr>
          <w:rFonts w:eastAsia="Arial" w:cs="Arial"/>
        </w:rPr>
        <w:t xml:space="preserve">ção </w:t>
      </w:r>
      <w:r w:rsidR="00683724" w:rsidRPr="002514A8">
        <w:rPr>
          <w:rFonts w:eastAsia="Arial" w:cs="Arial"/>
        </w:rPr>
        <w:t>de plataforma eletrônica</w:t>
      </w:r>
      <w:r w:rsidR="00882967" w:rsidRPr="002514A8">
        <w:rPr>
          <w:rFonts w:eastAsia="Arial" w:cs="Arial"/>
        </w:rPr>
        <w:t xml:space="preserve"> de cadastro</w:t>
      </w:r>
      <w:r w:rsidR="00683724" w:rsidRPr="002514A8">
        <w:rPr>
          <w:rFonts w:eastAsia="Arial" w:cs="Arial"/>
        </w:rPr>
        <w:t xml:space="preserve">, cujo </w:t>
      </w:r>
      <w:r w:rsidR="006A7867" w:rsidRPr="002514A8">
        <w:rPr>
          <w:rFonts w:eastAsia="Arial" w:cs="Arial"/>
        </w:rPr>
        <w:t>link de acesso (</w:t>
      </w:r>
      <w:r w:rsidR="008926A7" w:rsidRPr="002514A8">
        <w:rPr>
          <w:rFonts w:eastAsia="Arial" w:cs="Arial"/>
        </w:rPr>
        <w:t>URL</w:t>
      </w:r>
      <w:r w:rsidR="006A7867" w:rsidRPr="002514A8">
        <w:rPr>
          <w:rFonts w:eastAsia="Arial" w:cs="Arial"/>
        </w:rPr>
        <w:t>)</w:t>
      </w:r>
      <w:r w:rsidR="00683724" w:rsidRPr="002514A8">
        <w:rPr>
          <w:rFonts w:eastAsia="Arial" w:cs="Arial"/>
        </w:rPr>
        <w:t xml:space="preserve"> será encaminhado</w:t>
      </w:r>
      <w:r w:rsidR="000237FB" w:rsidRPr="002514A8">
        <w:rPr>
          <w:rFonts w:eastAsia="Arial" w:cs="Arial"/>
        </w:rPr>
        <w:t xml:space="preserve"> pela </w:t>
      </w:r>
      <w:r w:rsidR="00C03AAB" w:rsidRPr="002514A8">
        <w:rPr>
          <w:rFonts w:eastAsia="Arial" w:cs="Arial"/>
        </w:rPr>
        <w:t>unidade técnica</w:t>
      </w:r>
      <w:r w:rsidR="00683724" w:rsidRPr="002514A8">
        <w:rPr>
          <w:rFonts w:eastAsia="Arial" w:cs="Arial"/>
        </w:rPr>
        <w:t xml:space="preserve"> </w:t>
      </w:r>
      <w:r w:rsidR="000658DA" w:rsidRPr="002514A8">
        <w:rPr>
          <w:rFonts w:eastAsia="Arial" w:cs="Arial"/>
        </w:rPr>
        <w:t xml:space="preserve">competente </w:t>
      </w:r>
      <w:r w:rsidR="00AA2045" w:rsidRPr="002514A8">
        <w:rPr>
          <w:rFonts w:eastAsia="Arial" w:cs="Arial"/>
        </w:rPr>
        <w:t xml:space="preserve">ao </w:t>
      </w:r>
      <w:r w:rsidR="00393411" w:rsidRPr="002514A8">
        <w:rPr>
          <w:rFonts w:eastAsia="Arial" w:cs="Arial"/>
        </w:rPr>
        <w:t>Prefeito Municipal</w:t>
      </w:r>
      <w:r w:rsidR="00D51558" w:rsidRPr="002514A8">
        <w:rPr>
          <w:rFonts w:eastAsia="Arial" w:cs="Arial"/>
        </w:rPr>
        <w:t xml:space="preserve"> </w:t>
      </w:r>
      <w:r w:rsidR="00AF3D7B" w:rsidRPr="002514A8">
        <w:rPr>
          <w:rFonts w:eastAsia="Arial" w:cs="Arial"/>
        </w:rPr>
        <w:t xml:space="preserve">por meio </w:t>
      </w:r>
      <w:r w:rsidR="00BD5ACB" w:rsidRPr="002514A8">
        <w:rPr>
          <w:rFonts w:eastAsia="Arial" w:cs="Arial"/>
        </w:rPr>
        <w:t>de Ofício e</w:t>
      </w:r>
      <w:r w:rsidR="002E2BA7" w:rsidRPr="002514A8">
        <w:rPr>
          <w:rFonts w:eastAsia="Arial" w:cs="Arial"/>
        </w:rPr>
        <w:t xml:space="preserve"> Canal de Comunicação oficial </w:t>
      </w:r>
      <w:r w:rsidR="002D7D22" w:rsidRPr="002514A8">
        <w:rPr>
          <w:rFonts w:eastAsia="Arial" w:cs="Arial"/>
        </w:rPr>
        <w:t>do</w:t>
      </w:r>
      <w:r w:rsidR="002E2BA7" w:rsidRPr="002514A8">
        <w:rPr>
          <w:rFonts w:eastAsia="Arial" w:cs="Arial"/>
        </w:rPr>
        <w:t xml:space="preserve"> Tribunal</w:t>
      </w:r>
      <w:r w:rsidR="00393411" w:rsidRPr="002514A8">
        <w:rPr>
          <w:rFonts w:eastAsia="Arial" w:cs="Arial"/>
        </w:rPr>
        <w:t>.</w:t>
      </w:r>
      <w:bookmarkEnd w:id="73"/>
    </w:p>
    <w:p w14:paraId="07534866" w14:textId="77777777" w:rsidR="00E66DC0" w:rsidRPr="002514A8" w:rsidRDefault="00146AFA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Parágrafo único.</w:t>
      </w:r>
      <w:r w:rsidR="002D734A" w:rsidRPr="002514A8">
        <w:rPr>
          <w:rFonts w:eastAsia="Arial" w:cs="Arial"/>
        </w:rPr>
        <w:t xml:space="preserve"> O </w:t>
      </w:r>
      <w:r w:rsidR="005706F8" w:rsidRPr="002514A8">
        <w:rPr>
          <w:rFonts w:eastAsia="Arial" w:cs="Arial"/>
        </w:rPr>
        <w:t>período</w:t>
      </w:r>
      <w:r w:rsidR="002D734A" w:rsidRPr="002514A8">
        <w:rPr>
          <w:rFonts w:eastAsia="Arial" w:cs="Arial"/>
        </w:rPr>
        <w:t xml:space="preserve"> para o cadastramento </w:t>
      </w:r>
      <w:r w:rsidR="00E429F8" w:rsidRPr="002514A8">
        <w:rPr>
          <w:rFonts w:eastAsia="Arial" w:cs="Arial"/>
        </w:rPr>
        <w:t>previsto</w:t>
      </w:r>
      <w:r w:rsidR="002D734A" w:rsidRPr="002514A8">
        <w:rPr>
          <w:rFonts w:eastAsia="Arial" w:cs="Arial"/>
        </w:rPr>
        <w:t xml:space="preserve"> </w:t>
      </w:r>
      <w:r w:rsidR="00D959A1" w:rsidRPr="002514A8">
        <w:rPr>
          <w:rFonts w:eastAsia="Arial" w:cs="Arial"/>
        </w:rPr>
        <w:t>n</w:t>
      </w:r>
      <w:r w:rsidR="002D734A" w:rsidRPr="002514A8">
        <w:rPr>
          <w:rFonts w:eastAsia="Arial" w:cs="Arial"/>
        </w:rPr>
        <w:t xml:space="preserve">este artigo </w:t>
      </w:r>
      <w:r w:rsidR="008D431B" w:rsidRPr="002514A8">
        <w:rPr>
          <w:rFonts w:eastAsia="Arial" w:cs="Arial"/>
        </w:rPr>
        <w:t xml:space="preserve">será definido </w:t>
      </w:r>
      <w:r w:rsidR="007B0609" w:rsidRPr="002514A8">
        <w:rPr>
          <w:rFonts w:eastAsia="Arial" w:cs="Arial"/>
          <w:lang w:eastAsia="pt-BR"/>
        </w:rPr>
        <w:t>na</w:t>
      </w:r>
      <w:r w:rsidR="00E66DC0" w:rsidRPr="002514A8">
        <w:rPr>
          <w:rFonts w:eastAsia="Arial" w:cs="Arial"/>
          <w:lang w:eastAsia="pt-BR"/>
        </w:rPr>
        <w:t xml:space="preserve"> Agenda de Obrigações Municipais</w:t>
      </w:r>
      <w:r w:rsidR="00E66DC0" w:rsidRPr="002514A8">
        <w:rPr>
          <w:rFonts w:eastAsia="Arial" w:cs="Arial"/>
        </w:rPr>
        <w:t>.</w:t>
      </w:r>
    </w:p>
    <w:p w14:paraId="210D1F23" w14:textId="77777777" w:rsidR="0081175E" w:rsidRPr="002514A8" w:rsidRDefault="00A42C3E" w:rsidP="00C2083B">
      <w:pPr>
        <w:spacing w:after="0"/>
        <w:rPr>
          <w:rFonts w:eastAsia="Arial" w:cs="Arial"/>
        </w:rPr>
      </w:pPr>
      <w:bookmarkStart w:id="74" w:name="_Ref98402994"/>
      <w:r w:rsidRPr="002514A8">
        <w:rPr>
          <w:rFonts w:eastAsia="Arial" w:cs="Arial"/>
          <w:b/>
          <w:bCs/>
        </w:rPr>
        <w:t xml:space="preserve">Art. 15. </w:t>
      </w:r>
      <w:r w:rsidR="0081175E" w:rsidRPr="002514A8">
        <w:rPr>
          <w:rFonts w:eastAsia="Arial" w:cs="Arial"/>
        </w:rPr>
        <w:t>A</w:t>
      </w:r>
      <w:r w:rsidR="00DD1FD6" w:rsidRPr="002514A8">
        <w:rPr>
          <w:rFonts w:eastAsia="Arial" w:cs="Arial"/>
        </w:rPr>
        <w:t xml:space="preserve"> ausência da realização dos cadastros</w:t>
      </w:r>
      <w:r w:rsidR="000B6807" w:rsidRPr="002514A8">
        <w:rPr>
          <w:rFonts w:eastAsia="Arial" w:cs="Arial"/>
        </w:rPr>
        <w:t xml:space="preserve"> tratados nesta </w:t>
      </w:r>
      <w:r w:rsidR="00C02657" w:rsidRPr="002514A8">
        <w:rPr>
          <w:rFonts w:eastAsia="Arial" w:cs="Arial"/>
        </w:rPr>
        <w:t>s</w:t>
      </w:r>
      <w:r w:rsidR="000B6807" w:rsidRPr="002514A8">
        <w:rPr>
          <w:rFonts w:eastAsia="Arial" w:cs="Arial"/>
        </w:rPr>
        <w:t>ubseção</w:t>
      </w:r>
      <w:r w:rsidR="002D6AC0" w:rsidRPr="002514A8">
        <w:rPr>
          <w:rFonts w:eastAsia="Arial" w:cs="Arial"/>
        </w:rPr>
        <w:t xml:space="preserve"> </w:t>
      </w:r>
      <w:r w:rsidR="0081175E" w:rsidRPr="002514A8">
        <w:rPr>
          <w:rFonts w:eastAsia="Arial" w:cs="Arial"/>
        </w:rPr>
        <w:t>poder</w:t>
      </w:r>
      <w:r w:rsidR="00381929" w:rsidRPr="002514A8">
        <w:rPr>
          <w:rFonts w:eastAsia="Arial" w:cs="Arial"/>
        </w:rPr>
        <w:t>á</w:t>
      </w:r>
      <w:r w:rsidR="0081175E" w:rsidRPr="002514A8">
        <w:rPr>
          <w:rFonts w:eastAsia="Arial" w:cs="Arial"/>
        </w:rPr>
        <w:t xml:space="preserve"> implicar a responsabilização daqueles que lhe deram causa</w:t>
      </w:r>
      <w:bookmarkEnd w:id="74"/>
      <w:r w:rsidR="002D6AC0" w:rsidRPr="002514A8">
        <w:rPr>
          <w:rFonts w:eastAsia="Arial" w:cs="Arial"/>
        </w:rPr>
        <w:t>, a ser apurada nos termos do parágrafo único do</w:t>
      </w:r>
      <w:r w:rsidR="008E5ED9" w:rsidRPr="002514A8">
        <w:rPr>
          <w:rFonts w:eastAsia="Arial" w:cs="Arial"/>
        </w:rPr>
        <w:t xml:space="preserve"> art. 2º</w:t>
      </w:r>
      <w:r w:rsidR="002D6AC0" w:rsidRPr="002514A8">
        <w:rPr>
          <w:rFonts w:eastAsia="Arial" w:cs="Arial"/>
        </w:rPr>
        <w:t>.</w:t>
      </w:r>
    </w:p>
    <w:p w14:paraId="0F705065" w14:textId="77777777" w:rsidR="009E1C33" w:rsidRPr="002514A8" w:rsidRDefault="005D0852" w:rsidP="00CE423B">
      <w:pPr>
        <w:pStyle w:val="Ttulo1"/>
        <w:spacing w:after="0"/>
        <w:rPr>
          <w:rFonts w:eastAsia="Arial" w:cs="Arial"/>
        </w:rPr>
      </w:pPr>
      <w:bookmarkStart w:id="75" w:name="_Toc103326117"/>
      <w:bookmarkStart w:id="76" w:name="_Toc104385381"/>
      <w:bookmarkStart w:id="77" w:name="_Toc108448552"/>
      <w:r w:rsidRPr="002514A8">
        <w:rPr>
          <w:rFonts w:eastAsia="Arial" w:cs="Arial"/>
        </w:rPr>
        <w:t>CAPÍTULO I</w:t>
      </w:r>
      <w:r w:rsidR="00CF2BDF" w:rsidRPr="002514A8">
        <w:rPr>
          <w:rFonts w:eastAsia="Arial" w:cs="Arial"/>
        </w:rPr>
        <w:t>II</w:t>
      </w:r>
      <w:bookmarkEnd w:id="75"/>
      <w:bookmarkEnd w:id="76"/>
      <w:bookmarkEnd w:id="77"/>
    </w:p>
    <w:p w14:paraId="62C8DB87" w14:textId="77777777" w:rsidR="005D0852" w:rsidRPr="002514A8" w:rsidRDefault="005D0852" w:rsidP="00BE44CA">
      <w:pPr>
        <w:pStyle w:val="Ttulo1"/>
        <w:spacing w:before="0" w:after="240"/>
        <w:rPr>
          <w:rFonts w:eastAsia="Arial" w:cs="Arial"/>
        </w:rPr>
      </w:pPr>
      <w:bookmarkStart w:id="78" w:name="_Toc103326118"/>
      <w:bookmarkStart w:id="79" w:name="_Toc104385382"/>
      <w:bookmarkStart w:id="80" w:name="_Toc108448553"/>
      <w:r w:rsidRPr="002514A8">
        <w:rPr>
          <w:rFonts w:eastAsia="Arial" w:cs="Arial"/>
        </w:rPr>
        <w:t>DA AUTUAÇÃO DO PROCESSO</w:t>
      </w:r>
      <w:bookmarkEnd w:id="78"/>
      <w:bookmarkEnd w:id="79"/>
      <w:bookmarkEnd w:id="80"/>
    </w:p>
    <w:p w14:paraId="4E9AA3A8" w14:textId="77777777" w:rsidR="005D0852" w:rsidRPr="002514A8" w:rsidRDefault="00A42C3E" w:rsidP="00C2083B">
      <w:pPr>
        <w:spacing w:after="0"/>
        <w:rPr>
          <w:rFonts w:eastAsia="Arial" w:cs="Arial"/>
        </w:rPr>
      </w:pPr>
      <w:bookmarkStart w:id="81" w:name="_Ref97903376"/>
      <w:r w:rsidRPr="002514A8">
        <w:rPr>
          <w:rFonts w:eastAsia="Arial" w:cs="Arial"/>
          <w:b/>
          <w:bCs/>
        </w:rPr>
        <w:t xml:space="preserve">Art. 16. </w:t>
      </w:r>
      <w:r w:rsidR="005D0852" w:rsidRPr="002514A8">
        <w:rPr>
          <w:rFonts w:eastAsia="Arial" w:cs="Arial"/>
        </w:rPr>
        <w:t xml:space="preserve">O processo de </w:t>
      </w:r>
      <w:r w:rsidR="001F4D27" w:rsidRPr="002514A8">
        <w:rPr>
          <w:rFonts w:eastAsia="Arial" w:cs="Arial"/>
        </w:rPr>
        <w:t>P</w:t>
      </w:r>
      <w:r w:rsidR="008C2C4A" w:rsidRPr="002514A8">
        <w:rPr>
          <w:rFonts w:eastAsia="Arial" w:cs="Arial"/>
        </w:rPr>
        <w:t xml:space="preserve">restação de </w:t>
      </w:r>
      <w:r w:rsidR="001F4D27" w:rsidRPr="002514A8">
        <w:rPr>
          <w:rFonts w:eastAsia="Arial" w:cs="Arial"/>
        </w:rPr>
        <w:t>C</w:t>
      </w:r>
      <w:r w:rsidR="008C2C4A" w:rsidRPr="002514A8">
        <w:rPr>
          <w:rFonts w:eastAsia="Arial" w:cs="Arial"/>
        </w:rPr>
        <w:t>ontas</w:t>
      </w:r>
      <w:r w:rsidR="005D0852" w:rsidRPr="002514A8">
        <w:rPr>
          <w:rFonts w:eastAsia="Arial" w:cs="Arial"/>
        </w:rPr>
        <w:t xml:space="preserve"> d</w:t>
      </w:r>
      <w:r w:rsidR="00231906" w:rsidRPr="002514A8">
        <w:rPr>
          <w:rFonts w:eastAsia="Arial" w:cs="Arial"/>
        </w:rPr>
        <w:t>e</w:t>
      </w:r>
      <w:r w:rsidR="005D0852" w:rsidRPr="002514A8">
        <w:rPr>
          <w:rFonts w:eastAsia="Arial" w:cs="Arial"/>
        </w:rPr>
        <w:t xml:space="preserve"> Prefeito Municipal </w:t>
      </w:r>
      <w:r w:rsidR="00B0546E" w:rsidRPr="002514A8">
        <w:rPr>
          <w:rFonts w:eastAsia="Arial" w:cs="Arial"/>
        </w:rPr>
        <w:t>deverá ser</w:t>
      </w:r>
      <w:r w:rsidR="005D0852" w:rsidRPr="002514A8">
        <w:rPr>
          <w:rFonts w:eastAsia="Arial" w:cs="Arial"/>
        </w:rPr>
        <w:t xml:space="preserve"> autuado até 31 de março de cada ano pelo Prefeito Municipal </w:t>
      </w:r>
      <w:r w:rsidR="0049724A" w:rsidRPr="002514A8">
        <w:rPr>
          <w:rFonts w:eastAsia="Arial" w:cs="Arial"/>
        </w:rPr>
        <w:t>em exercício, nos termos do §</w:t>
      </w:r>
      <w:r w:rsidR="00DC5354" w:rsidRPr="002514A8">
        <w:rPr>
          <w:rFonts w:eastAsia="Arial" w:cs="Arial"/>
        </w:rPr>
        <w:t xml:space="preserve"> </w:t>
      </w:r>
      <w:r w:rsidR="0049724A" w:rsidRPr="002514A8">
        <w:rPr>
          <w:rFonts w:eastAsia="Arial" w:cs="Arial"/>
        </w:rPr>
        <w:t>1º</w:t>
      </w:r>
      <w:r w:rsidR="005D0852" w:rsidRPr="002514A8">
        <w:rPr>
          <w:rFonts w:eastAsia="Arial" w:cs="Arial"/>
        </w:rPr>
        <w:t xml:space="preserve"> do art.</w:t>
      </w:r>
      <w:r w:rsidR="002173FF" w:rsidRPr="002514A8">
        <w:rPr>
          <w:rFonts w:eastAsia="Arial" w:cs="Arial"/>
        </w:rPr>
        <w:t xml:space="preserve"> </w:t>
      </w:r>
      <w:r w:rsidR="005D0852" w:rsidRPr="002514A8">
        <w:rPr>
          <w:rFonts w:eastAsia="Arial" w:cs="Arial"/>
        </w:rPr>
        <w:t xml:space="preserve">23 da Lei Complementar </w:t>
      </w:r>
      <w:r w:rsidR="00B84A4F" w:rsidRPr="002514A8">
        <w:rPr>
          <w:rFonts w:eastAsia="Arial" w:cs="Arial"/>
        </w:rPr>
        <w:t xml:space="preserve">Estadual </w:t>
      </w:r>
      <w:r w:rsidR="005D0852" w:rsidRPr="002514A8">
        <w:rPr>
          <w:rFonts w:eastAsia="Arial" w:cs="Arial"/>
        </w:rPr>
        <w:t xml:space="preserve">nº 113, de 2005, e </w:t>
      </w:r>
      <w:r w:rsidR="00146AFA" w:rsidRPr="002514A8">
        <w:rPr>
          <w:rFonts w:eastAsia="Arial" w:cs="Arial"/>
        </w:rPr>
        <w:t>d</w:t>
      </w:r>
      <w:r w:rsidR="005D0852" w:rsidRPr="002514A8">
        <w:rPr>
          <w:rFonts w:eastAsia="Arial" w:cs="Arial"/>
        </w:rPr>
        <w:t xml:space="preserve">o </w:t>
      </w:r>
      <w:r w:rsidR="007B0609" w:rsidRPr="002514A8">
        <w:rPr>
          <w:rFonts w:eastAsia="Arial" w:cs="Arial"/>
        </w:rPr>
        <w:t>§ 1º</w:t>
      </w:r>
      <w:r w:rsidR="005D0852" w:rsidRPr="002514A8">
        <w:rPr>
          <w:rFonts w:eastAsia="Arial" w:cs="Arial"/>
        </w:rPr>
        <w:t xml:space="preserve"> do art. 2</w:t>
      </w:r>
      <w:r w:rsidR="007B0609" w:rsidRPr="002514A8">
        <w:rPr>
          <w:rFonts w:eastAsia="Arial" w:cs="Arial"/>
        </w:rPr>
        <w:t>1</w:t>
      </w:r>
      <w:r w:rsidR="005D0852" w:rsidRPr="002514A8">
        <w:rPr>
          <w:rFonts w:eastAsia="Arial" w:cs="Arial"/>
        </w:rPr>
        <w:t>5 do Regimento Interno.</w:t>
      </w:r>
      <w:bookmarkEnd w:id="81"/>
    </w:p>
    <w:p w14:paraId="1D85472A" w14:textId="262DA7A7" w:rsidR="005D0852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17. </w:t>
      </w:r>
      <w:r w:rsidR="005D0852" w:rsidRPr="002514A8">
        <w:rPr>
          <w:rFonts w:eastAsia="Arial" w:cs="Arial"/>
        </w:rPr>
        <w:t xml:space="preserve">A </w:t>
      </w:r>
      <w:r w:rsidR="00F73610" w:rsidRPr="002514A8">
        <w:rPr>
          <w:rFonts w:eastAsia="Arial" w:cs="Arial"/>
        </w:rPr>
        <w:t>autuação</w:t>
      </w:r>
      <w:r w:rsidR="005D0852" w:rsidRPr="002514A8">
        <w:rPr>
          <w:rFonts w:eastAsia="Arial" w:cs="Arial"/>
        </w:rPr>
        <w:t xml:space="preserve"> do processo de </w:t>
      </w:r>
      <w:r w:rsidR="005046E8" w:rsidRPr="002514A8">
        <w:rPr>
          <w:rFonts w:eastAsia="Arial" w:cs="Arial"/>
        </w:rPr>
        <w:t>Prestação de Contas de Prefeito Municipal</w:t>
      </w:r>
      <w:r w:rsidR="005D0852" w:rsidRPr="002514A8">
        <w:rPr>
          <w:rFonts w:eastAsia="Arial" w:cs="Arial"/>
        </w:rPr>
        <w:t xml:space="preserve"> será efetivada exclusivamente por peticionamento eletrônico,</w:t>
      </w:r>
      <w:r w:rsidR="0049724A" w:rsidRPr="002514A8">
        <w:rPr>
          <w:rFonts w:eastAsia="Arial" w:cs="Arial"/>
        </w:rPr>
        <w:t xml:space="preserve"> com o envio dos documentos referidos no</w:t>
      </w:r>
      <w:r w:rsidR="008E5ED9" w:rsidRPr="002514A8">
        <w:rPr>
          <w:rFonts w:eastAsia="Arial" w:cs="Arial"/>
        </w:rPr>
        <w:t xml:space="preserve"> art. 10</w:t>
      </w:r>
      <w:r w:rsidR="0049724A" w:rsidRPr="002514A8">
        <w:rPr>
          <w:rFonts w:eastAsia="Arial" w:cs="Arial"/>
        </w:rPr>
        <w:t xml:space="preserve">, </w:t>
      </w:r>
      <w:r w:rsidR="005D0852" w:rsidRPr="002514A8">
        <w:rPr>
          <w:rFonts w:eastAsia="Arial" w:cs="Arial"/>
        </w:rPr>
        <w:t>através do Portal e-Contas Paraná, no sítio do Tribunal</w:t>
      </w:r>
      <w:r w:rsidR="002D7D22" w:rsidRPr="002514A8">
        <w:rPr>
          <w:rFonts w:eastAsia="Arial" w:cs="Arial"/>
        </w:rPr>
        <w:t xml:space="preserve"> de Contas</w:t>
      </w:r>
      <w:r w:rsidR="005D0852" w:rsidRPr="002514A8">
        <w:rPr>
          <w:rFonts w:eastAsia="Arial" w:cs="Arial"/>
        </w:rPr>
        <w:t xml:space="preserve">, nos termos da </w:t>
      </w:r>
      <w:hyperlink r:id="rId16" w:history="1">
        <w:r w:rsidR="005D0852" w:rsidRPr="009E7A72">
          <w:rPr>
            <w:rStyle w:val="Hyperlink"/>
            <w:rFonts w:eastAsia="Arial" w:cs="Arial"/>
          </w:rPr>
          <w:t>Instrução Normativa nº 62</w:t>
        </w:r>
        <w:r w:rsidR="00440B4D" w:rsidRPr="009E7A72">
          <w:rPr>
            <w:rStyle w:val="Hyperlink"/>
            <w:rFonts w:eastAsia="Arial" w:cs="Arial"/>
          </w:rPr>
          <w:t xml:space="preserve">, de </w:t>
        </w:r>
        <w:r w:rsidR="005D0852" w:rsidRPr="009E7A72">
          <w:rPr>
            <w:rStyle w:val="Hyperlink"/>
            <w:rFonts w:eastAsia="Arial" w:cs="Arial"/>
          </w:rPr>
          <w:t>2011</w:t>
        </w:r>
      </w:hyperlink>
      <w:r w:rsidR="00B76410" w:rsidRPr="002514A8">
        <w:rPr>
          <w:rFonts w:eastAsia="Arial" w:cs="Arial"/>
        </w:rPr>
        <w:t xml:space="preserve">, ou da normativa que </w:t>
      </w:r>
      <w:r w:rsidR="0042063A" w:rsidRPr="002514A8">
        <w:rPr>
          <w:rFonts w:eastAsia="Arial" w:cs="Arial"/>
        </w:rPr>
        <w:t>vier a substituir</w:t>
      </w:r>
      <w:r w:rsidR="0049724A" w:rsidRPr="002514A8">
        <w:rPr>
          <w:rFonts w:eastAsia="Arial" w:cs="Arial"/>
        </w:rPr>
        <w:t>.</w:t>
      </w:r>
    </w:p>
    <w:p w14:paraId="1D07D5A6" w14:textId="268E7A57" w:rsidR="005D0852" w:rsidRPr="002514A8" w:rsidRDefault="005D0852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Parágrafo único. O conteúdo das peças integrantes do processo gerado mediante peticionamento eletrônico deverá atender às especificações e padronizações definidas na </w:t>
      </w:r>
      <w:hyperlink r:id="rId17" w:history="1">
        <w:r w:rsidRPr="004E294E">
          <w:rPr>
            <w:rStyle w:val="Hyperlink"/>
            <w:rFonts w:eastAsia="Arial" w:cs="Arial"/>
          </w:rPr>
          <w:t xml:space="preserve">Instrução de Serviço nº 27, </w:t>
        </w:r>
        <w:r w:rsidR="00440B4D" w:rsidRPr="004E294E">
          <w:rPr>
            <w:rStyle w:val="Hyperlink"/>
            <w:rFonts w:eastAsia="Arial" w:cs="Arial"/>
          </w:rPr>
          <w:t>de 03 de outubro de 2011</w:t>
        </w:r>
      </w:hyperlink>
      <w:r w:rsidR="0078408D" w:rsidRPr="002514A8">
        <w:rPr>
          <w:rFonts w:eastAsia="Arial" w:cs="Arial"/>
        </w:rPr>
        <w:t>, ou na normativa que</w:t>
      </w:r>
      <w:r w:rsidR="00233202" w:rsidRPr="002514A8">
        <w:rPr>
          <w:rFonts w:eastAsia="Arial" w:cs="Arial"/>
        </w:rPr>
        <w:t xml:space="preserve"> vier</w:t>
      </w:r>
      <w:r w:rsidR="0078408D" w:rsidRPr="002514A8">
        <w:rPr>
          <w:rFonts w:eastAsia="Arial" w:cs="Arial"/>
        </w:rPr>
        <w:t xml:space="preserve"> </w:t>
      </w:r>
      <w:r w:rsidR="0042063A" w:rsidRPr="002514A8">
        <w:rPr>
          <w:rFonts w:eastAsia="Arial" w:cs="Arial"/>
        </w:rPr>
        <w:t>a substituir</w:t>
      </w:r>
      <w:r w:rsidRPr="002514A8">
        <w:rPr>
          <w:rFonts w:eastAsia="Arial" w:cs="Arial"/>
        </w:rPr>
        <w:t>.</w:t>
      </w:r>
    </w:p>
    <w:p w14:paraId="509C0E68" w14:textId="77777777" w:rsidR="003F3FDD" w:rsidRPr="002514A8" w:rsidRDefault="00B65E0D" w:rsidP="00CE423B">
      <w:pPr>
        <w:pStyle w:val="Ttulo1"/>
        <w:spacing w:after="0"/>
        <w:rPr>
          <w:rFonts w:eastAsia="Arial" w:cs="Arial"/>
        </w:rPr>
      </w:pPr>
      <w:bookmarkStart w:id="82" w:name="_Toc103326119"/>
      <w:bookmarkStart w:id="83" w:name="_Toc104385383"/>
      <w:bookmarkStart w:id="84" w:name="_Toc108448554"/>
      <w:r w:rsidRPr="002514A8">
        <w:rPr>
          <w:rFonts w:eastAsia="Arial" w:cs="Arial"/>
        </w:rPr>
        <w:t xml:space="preserve">CAPÍTULO </w:t>
      </w:r>
      <w:r w:rsidR="00CF2BDF" w:rsidRPr="002514A8">
        <w:rPr>
          <w:rFonts w:eastAsia="Arial" w:cs="Arial"/>
        </w:rPr>
        <w:t>I</w:t>
      </w:r>
      <w:r w:rsidR="006A3318" w:rsidRPr="002514A8">
        <w:rPr>
          <w:rFonts w:eastAsia="Arial" w:cs="Arial"/>
        </w:rPr>
        <w:t>V</w:t>
      </w:r>
      <w:bookmarkEnd w:id="82"/>
      <w:bookmarkEnd w:id="83"/>
      <w:bookmarkEnd w:id="84"/>
    </w:p>
    <w:p w14:paraId="0DE1821A" w14:textId="77777777" w:rsidR="00B65E0D" w:rsidRPr="002514A8" w:rsidRDefault="00D57701" w:rsidP="00BE44CA">
      <w:pPr>
        <w:pStyle w:val="Ttulo1"/>
        <w:spacing w:before="0" w:after="240"/>
        <w:rPr>
          <w:rFonts w:eastAsia="Arial" w:cs="Arial"/>
          <w:strike/>
        </w:rPr>
      </w:pPr>
      <w:bookmarkStart w:id="85" w:name="_Toc103326120"/>
      <w:bookmarkStart w:id="86" w:name="_Toc104385384"/>
      <w:bookmarkStart w:id="87" w:name="_Toc108448555"/>
      <w:r w:rsidRPr="002514A8">
        <w:rPr>
          <w:rFonts w:eastAsia="Arial" w:cs="Arial"/>
        </w:rPr>
        <w:t>D</w:t>
      </w:r>
      <w:r w:rsidR="005B4AE7" w:rsidRPr="002514A8">
        <w:rPr>
          <w:rFonts w:eastAsia="Arial" w:cs="Arial"/>
        </w:rPr>
        <w:t>A</w:t>
      </w:r>
      <w:r w:rsidRPr="002514A8">
        <w:rPr>
          <w:rFonts w:eastAsia="Arial" w:cs="Arial"/>
        </w:rPr>
        <w:t xml:space="preserve"> </w:t>
      </w:r>
      <w:r w:rsidR="005B4AE7" w:rsidRPr="002514A8">
        <w:rPr>
          <w:rFonts w:eastAsia="Arial" w:cs="Arial"/>
        </w:rPr>
        <w:t xml:space="preserve">INSTRUÇÃO </w:t>
      </w:r>
      <w:r w:rsidR="00C527BF" w:rsidRPr="002514A8">
        <w:rPr>
          <w:rFonts w:eastAsia="Arial" w:cs="Arial"/>
        </w:rPr>
        <w:t xml:space="preserve">DA </w:t>
      </w:r>
      <w:r w:rsidR="00C03AAB" w:rsidRPr="002514A8">
        <w:rPr>
          <w:rFonts w:eastAsia="Arial" w:cs="Arial"/>
        </w:rPr>
        <w:t>UNIDADE TÉCNICA</w:t>
      </w:r>
      <w:bookmarkEnd w:id="85"/>
      <w:bookmarkEnd w:id="86"/>
      <w:bookmarkEnd w:id="87"/>
    </w:p>
    <w:p w14:paraId="1F48DC84" w14:textId="77777777" w:rsidR="00505BEF" w:rsidRPr="002514A8" w:rsidRDefault="00A42C3E" w:rsidP="00C2083B">
      <w:pPr>
        <w:spacing w:after="0"/>
        <w:rPr>
          <w:rFonts w:eastAsia="Arial" w:cs="Arial"/>
        </w:rPr>
      </w:pPr>
      <w:bookmarkStart w:id="88" w:name="_Ref98162321"/>
      <w:r w:rsidRPr="002514A8">
        <w:rPr>
          <w:rFonts w:eastAsia="Arial" w:cs="Arial"/>
          <w:b/>
          <w:bCs/>
        </w:rPr>
        <w:t xml:space="preserve">Art. 18. </w:t>
      </w:r>
      <w:r w:rsidR="00505BEF" w:rsidRPr="002514A8">
        <w:rPr>
          <w:rFonts w:eastAsia="Arial" w:cs="Arial"/>
        </w:rPr>
        <w:t xml:space="preserve">Recebido o processo de </w:t>
      </w:r>
      <w:r w:rsidR="005046E8" w:rsidRPr="002514A8">
        <w:rPr>
          <w:rFonts w:eastAsia="Arial" w:cs="Arial"/>
        </w:rPr>
        <w:t>Prestação de Contas de Prefeito Municipal</w:t>
      </w:r>
      <w:r w:rsidR="00505BEF" w:rsidRPr="002514A8">
        <w:rPr>
          <w:rFonts w:eastAsia="Arial" w:cs="Arial"/>
        </w:rPr>
        <w:t xml:space="preserve"> </w:t>
      </w:r>
      <w:r w:rsidR="00F73610" w:rsidRPr="002514A8">
        <w:rPr>
          <w:rFonts w:eastAsia="Arial" w:cs="Arial"/>
        </w:rPr>
        <w:t>autuado</w:t>
      </w:r>
      <w:r w:rsidR="00505BEF" w:rsidRPr="002514A8">
        <w:rPr>
          <w:rFonts w:eastAsia="Arial" w:cs="Arial"/>
        </w:rPr>
        <w:t xml:space="preserve"> nos termos do</w:t>
      </w:r>
      <w:r w:rsidR="00AC37C4" w:rsidRPr="002514A8">
        <w:rPr>
          <w:rFonts w:eastAsia="Arial" w:cs="Arial"/>
        </w:rPr>
        <w:t xml:space="preserve"> art. 17</w:t>
      </w:r>
      <w:r w:rsidR="00505BEF" w:rsidRPr="002514A8">
        <w:rPr>
          <w:rFonts w:eastAsia="Arial" w:cs="Arial"/>
        </w:rPr>
        <w:t xml:space="preserve">, a </w:t>
      </w:r>
      <w:r w:rsidR="00C03AAB" w:rsidRPr="002514A8">
        <w:rPr>
          <w:rFonts w:eastAsia="Arial" w:cs="Arial"/>
        </w:rPr>
        <w:t>unidade técnica</w:t>
      </w:r>
      <w:r w:rsidR="00505BEF" w:rsidRPr="002514A8">
        <w:rPr>
          <w:rFonts w:eastAsia="Arial" w:cs="Arial"/>
        </w:rPr>
        <w:t xml:space="preserve"> emitirá </w:t>
      </w:r>
      <w:r w:rsidR="008858DC" w:rsidRPr="002514A8">
        <w:rPr>
          <w:rFonts w:eastAsia="Arial" w:cs="Arial"/>
        </w:rPr>
        <w:t>instrução</w:t>
      </w:r>
      <w:r w:rsidR="00505BEF" w:rsidRPr="002514A8">
        <w:rPr>
          <w:rFonts w:eastAsia="Arial" w:cs="Arial"/>
        </w:rPr>
        <w:t xml:space="preserve"> que conterá os seguintes elementos:</w:t>
      </w:r>
      <w:bookmarkEnd w:id="88"/>
    </w:p>
    <w:p w14:paraId="494068DA" w14:textId="77777777" w:rsidR="00505BEF" w:rsidRPr="002514A8" w:rsidRDefault="00505BEF" w:rsidP="00D1101C">
      <w:pPr>
        <w:pStyle w:val="dou-paragraph"/>
        <w:shd w:val="clear" w:color="auto" w:fill="FFFFFF"/>
        <w:spacing w:before="120" w:beforeAutospacing="0" w:after="0" w:afterAutospacing="0"/>
        <w:ind w:firstLine="1200"/>
        <w:rPr>
          <w:rFonts w:ascii="Arial" w:eastAsia="Arial" w:hAnsi="Arial" w:cs="Arial"/>
        </w:rPr>
      </w:pPr>
      <w:r w:rsidRPr="002514A8">
        <w:rPr>
          <w:rFonts w:ascii="Arial" w:eastAsia="Arial" w:hAnsi="Arial" w:cs="Arial"/>
        </w:rPr>
        <w:t>I - descrição da conjuntura social, econômica e política, elaborad</w:t>
      </w:r>
      <w:r w:rsidR="00C57541" w:rsidRPr="002514A8">
        <w:rPr>
          <w:rFonts w:ascii="Arial" w:eastAsia="Arial" w:hAnsi="Arial" w:cs="Arial"/>
        </w:rPr>
        <w:t>a</w:t>
      </w:r>
      <w:r w:rsidRPr="002514A8">
        <w:rPr>
          <w:rFonts w:ascii="Arial" w:eastAsia="Arial" w:hAnsi="Arial" w:cs="Arial"/>
        </w:rPr>
        <w:t xml:space="preserve"> nos termos da </w:t>
      </w:r>
      <w:r w:rsidR="00C02657" w:rsidRPr="002514A8">
        <w:rPr>
          <w:rFonts w:ascii="Arial" w:eastAsia="Arial" w:hAnsi="Arial" w:cs="Arial"/>
        </w:rPr>
        <w:t>s</w:t>
      </w:r>
      <w:r w:rsidRPr="002514A8">
        <w:rPr>
          <w:rFonts w:ascii="Arial" w:eastAsia="Arial" w:hAnsi="Arial" w:cs="Arial"/>
        </w:rPr>
        <w:t xml:space="preserve">eção I deste </w:t>
      </w:r>
      <w:r w:rsidR="00C02657" w:rsidRPr="002514A8">
        <w:rPr>
          <w:rFonts w:ascii="Arial" w:eastAsia="Arial" w:hAnsi="Arial" w:cs="Arial"/>
        </w:rPr>
        <w:t>c</w:t>
      </w:r>
      <w:r w:rsidRPr="002514A8">
        <w:rPr>
          <w:rFonts w:ascii="Arial" w:eastAsia="Arial" w:hAnsi="Arial" w:cs="Arial"/>
        </w:rPr>
        <w:t>apítulo;</w:t>
      </w:r>
    </w:p>
    <w:p w14:paraId="4703562D" w14:textId="77777777" w:rsidR="00505BEF" w:rsidRPr="002514A8" w:rsidRDefault="00505BEF" w:rsidP="00D1101C">
      <w:pPr>
        <w:pStyle w:val="dou-paragraph"/>
        <w:shd w:val="clear" w:color="auto" w:fill="FFFFFF"/>
        <w:spacing w:before="120" w:beforeAutospacing="0" w:after="0" w:afterAutospacing="0"/>
        <w:ind w:firstLine="1200"/>
        <w:rPr>
          <w:rFonts w:ascii="Arial" w:eastAsia="Arial" w:hAnsi="Arial" w:cs="Arial"/>
        </w:rPr>
      </w:pPr>
      <w:r w:rsidRPr="002514A8">
        <w:rPr>
          <w:rFonts w:ascii="Arial" w:eastAsia="Arial" w:hAnsi="Arial" w:cs="Arial"/>
        </w:rPr>
        <w:t>II - avaliação da implementação das políticas públicas municipais, elaborad</w:t>
      </w:r>
      <w:r w:rsidR="00C57541" w:rsidRPr="002514A8">
        <w:rPr>
          <w:rFonts w:ascii="Arial" w:eastAsia="Arial" w:hAnsi="Arial" w:cs="Arial"/>
        </w:rPr>
        <w:t>a</w:t>
      </w:r>
      <w:r w:rsidRPr="002514A8">
        <w:rPr>
          <w:rFonts w:ascii="Arial" w:eastAsia="Arial" w:hAnsi="Arial" w:cs="Arial"/>
        </w:rPr>
        <w:t xml:space="preserve"> nos termos da </w:t>
      </w:r>
      <w:r w:rsidR="00C02657" w:rsidRPr="002514A8">
        <w:rPr>
          <w:rFonts w:ascii="Arial" w:eastAsia="Arial" w:hAnsi="Arial" w:cs="Arial"/>
        </w:rPr>
        <w:t>s</w:t>
      </w:r>
      <w:r w:rsidRPr="002514A8">
        <w:rPr>
          <w:rFonts w:ascii="Arial" w:eastAsia="Arial" w:hAnsi="Arial" w:cs="Arial"/>
        </w:rPr>
        <w:t xml:space="preserve">eção II deste </w:t>
      </w:r>
      <w:r w:rsidR="00C02657" w:rsidRPr="002514A8">
        <w:rPr>
          <w:rFonts w:ascii="Arial" w:eastAsia="Arial" w:hAnsi="Arial" w:cs="Arial"/>
        </w:rPr>
        <w:t>c</w:t>
      </w:r>
      <w:r w:rsidRPr="002514A8">
        <w:rPr>
          <w:rFonts w:ascii="Arial" w:eastAsia="Arial" w:hAnsi="Arial" w:cs="Arial"/>
        </w:rPr>
        <w:t>apítulo;</w:t>
      </w:r>
    </w:p>
    <w:p w14:paraId="660DD429" w14:textId="77777777" w:rsidR="00505BEF" w:rsidRPr="002514A8" w:rsidRDefault="00505BEF" w:rsidP="00D1101C">
      <w:pPr>
        <w:pStyle w:val="dou-paragraph"/>
        <w:shd w:val="clear" w:color="auto" w:fill="FFFFFF"/>
        <w:spacing w:before="120" w:beforeAutospacing="0" w:after="0" w:afterAutospacing="0"/>
        <w:ind w:firstLine="1200"/>
        <w:rPr>
          <w:rFonts w:ascii="Arial" w:eastAsia="Arial" w:hAnsi="Arial" w:cs="Arial"/>
        </w:rPr>
      </w:pPr>
      <w:r w:rsidRPr="002514A8">
        <w:rPr>
          <w:rFonts w:ascii="Arial" w:eastAsia="Arial" w:hAnsi="Arial" w:cs="Arial"/>
        </w:rPr>
        <w:t xml:space="preserve">III - </w:t>
      </w:r>
      <w:r w:rsidR="00D57701" w:rsidRPr="002514A8">
        <w:rPr>
          <w:rFonts w:ascii="Arial" w:eastAsia="Arial" w:hAnsi="Arial" w:cs="Arial"/>
        </w:rPr>
        <w:t>opinativo</w:t>
      </w:r>
      <w:r w:rsidRPr="002514A8">
        <w:rPr>
          <w:rFonts w:ascii="Arial" w:eastAsia="Arial" w:hAnsi="Arial" w:cs="Arial"/>
        </w:rPr>
        <w:t xml:space="preserve"> </w:t>
      </w:r>
      <w:r w:rsidR="00D57701" w:rsidRPr="002514A8">
        <w:rPr>
          <w:rFonts w:ascii="Arial" w:eastAsia="Arial" w:hAnsi="Arial" w:cs="Arial"/>
        </w:rPr>
        <w:t>sobre a</w:t>
      </w:r>
      <w:r w:rsidRPr="002514A8">
        <w:rPr>
          <w:rFonts w:ascii="Arial" w:eastAsia="Arial" w:hAnsi="Arial" w:cs="Arial"/>
        </w:rPr>
        <w:t xml:space="preserve"> execução orçamentária e financeira dos recursos públicos municipais, elaborado nos termos da </w:t>
      </w:r>
      <w:r w:rsidR="00C02657" w:rsidRPr="002514A8">
        <w:rPr>
          <w:rFonts w:ascii="Arial" w:eastAsia="Arial" w:hAnsi="Arial" w:cs="Arial"/>
        </w:rPr>
        <w:t>s</w:t>
      </w:r>
      <w:r w:rsidRPr="002514A8">
        <w:rPr>
          <w:rFonts w:ascii="Arial" w:eastAsia="Arial" w:hAnsi="Arial" w:cs="Arial"/>
        </w:rPr>
        <w:t xml:space="preserve">eção III deste </w:t>
      </w:r>
      <w:r w:rsidR="00C02657" w:rsidRPr="002514A8">
        <w:rPr>
          <w:rFonts w:ascii="Arial" w:eastAsia="Arial" w:hAnsi="Arial" w:cs="Arial"/>
        </w:rPr>
        <w:t>c</w:t>
      </w:r>
      <w:r w:rsidRPr="002514A8">
        <w:rPr>
          <w:rFonts w:ascii="Arial" w:eastAsia="Arial" w:hAnsi="Arial" w:cs="Arial"/>
        </w:rPr>
        <w:t>apítulo.</w:t>
      </w:r>
    </w:p>
    <w:p w14:paraId="3B91249A" w14:textId="77777777" w:rsidR="00E563D9" w:rsidRPr="002514A8" w:rsidRDefault="00497931" w:rsidP="00D1101C">
      <w:pPr>
        <w:pStyle w:val="dou-paragraph"/>
        <w:shd w:val="clear" w:color="auto" w:fill="FFFFFF"/>
        <w:spacing w:before="120" w:beforeAutospacing="0" w:after="0" w:afterAutospacing="0"/>
        <w:ind w:firstLine="1200"/>
        <w:rPr>
          <w:rFonts w:ascii="Arial" w:eastAsia="Arial" w:hAnsi="Arial" w:cs="Arial"/>
        </w:rPr>
      </w:pPr>
      <w:r w:rsidRPr="002514A8">
        <w:rPr>
          <w:rFonts w:ascii="Arial" w:eastAsia="Arial" w:hAnsi="Arial" w:cs="Arial"/>
        </w:rPr>
        <w:t>§ 1º</w:t>
      </w:r>
      <w:r w:rsidR="00505BEF" w:rsidRPr="002514A8">
        <w:rPr>
          <w:rFonts w:ascii="Arial" w:eastAsia="Arial" w:hAnsi="Arial" w:cs="Arial"/>
        </w:rPr>
        <w:t xml:space="preserve"> A </w:t>
      </w:r>
      <w:r w:rsidR="00C03AAB" w:rsidRPr="002514A8">
        <w:rPr>
          <w:rFonts w:ascii="Arial" w:eastAsia="Arial" w:hAnsi="Arial" w:cs="Arial"/>
        </w:rPr>
        <w:t>unidade técnica</w:t>
      </w:r>
      <w:r w:rsidR="00505BEF" w:rsidRPr="002514A8">
        <w:rPr>
          <w:rFonts w:ascii="Arial" w:eastAsia="Arial" w:hAnsi="Arial" w:cs="Arial"/>
        </w:rPr>
        <w:t xml:space="preserve"> indicará</w:t>
      </w:r>
      <w:r w:rsidR="006B5A10" w:rsidRPr="002514A8">
        <w:rPr>
          <w:rFonts w:ascii="Arial" w:eastAsia="Arial" w:hAnsi="Arial" w:cs="Arial"/>
        </w:rPr>
        <w:t xml:space="preserve">, se for o caso, </w:t>
      </w:r>
      <w:r w:rsidR="00505BEF" w:rsidRPr="002514A8">
        <w:rPr>
          <w:rFonts w:ascii="Arial" w:eastAsia="Arial" w:hAnsi="Arial" w:cs="Arial"/>
        </w:rPr>
        <w:t xml:space="preserve">que a ausência dos </w:t>
      </w:r>
      <w:r w:rsidR="003F5F27" w:rsidRPr="002514A8">
        <w:rPr>
          <w:rFonts w:ascii="Arial" w:eastAsia="Arial" w:hAnsi="Arial" w:cs="Arial"/>
        </w:rPr>
        <w:t xml:space="preserve">dados </w:t>
      </w:r>
      <w:r w:rsidR="000B5152" w:rsidRPr="002514A8">
        <w:rPr>
          <w:rFonts w:ascii="Arial" w:eastAsia="Arial" w:hAnsi="Arial" w:cs="Arial"/>
        </w:rPr>
        <w:t>ou</w:t>
      </w:r>
      <w:r w:rsidR="003F5F27" w:rsidRPr="002514A8">
        <w:rPr>
          <w:rFonts w:ascii="Arial" w:eastAsia="Arial" w:hAnsi="Arial" w:cs="Arial"/>
        </w:rPr>
        <w:t xml:space="preserve"> documentos</w:t>
      </w:r>
      <w:r w:rsidR="00505BEF" w:rsidRPr="002514A8">
        <w:rPr>
          <w:rFonts w:ascii="Arial" w:eastAsia="Arial" w:hAnsi="Arial" w:cs="Arial"/>
        </w:rPr>
        <w:t xml:space="preserve"> </w:t>
      </w:r>
      <w:r w:rsidR="0076559F" w:rsidRPr="002514A8">
        <w:rPr>
          <w:rFonts w:ascii="Arial" w:eastAsia="Arial" w:hAnsi="Arial" w:cs="Arial"/>
        </w:rPr>
        <w:t>referidos</w:t>
      </w:r>
      <w:r w:rsidR="00505BEF" w:rsidRPr="002514A8">
        <w:rPr>
          <w:rFonts w:ascii="Arial" w:eastAsia="Arial" w:hAnsi="Arial" w:cs="Arial"/>
        </w:rPr>
        <w:t xml:space="preserve"> no</w:t>
      </w:r>
      <w:r w:rsidR="008E5ED9" w:rsidRPr="002514A8">
        <w:rPr>
          <w:rFonts w:ascii="Arial" w:eastAsia="Arial" w:hAnsi="Arial" w:cs="Arial"/>
        </w:rPr>
        <w:t xml:space="preserve"> art. 5º</w:t>
      </w:r>
      <w:r w:rsidR="00505BEF" w:rsidRPr="002514A8">
        <w:rPr>
          <w:rFonts w:ascii="Arial" w:eastAsia="Arial" w:hAnsi="Arial" w:cs="Arial"/>
        </w:rPr>
        <w:t xml:space="preserve"> impossibilita total ou parcialmente a instrução prevista neste artigo</w:t>
      </w:r>
      <w:r w:rsidR="006B5A10" w:rsidRPr="002514A8">
        <w:rPr>
          <w:rFonts w:ascii="Arial" w:eastAsia="Arial" w:hAnsi="Arial" w:cs="Arial"/>
        </w:rPr>
        <w:t>.</w:t>
      </w:r>
    </w:p>
    <w:p w14:paraId="4A35FD83" w14:textId="77777777" w:rsidR="001B7CB3" w:rsidRPr="002514A8" w:rsidRDefault="00497931" w:rsidP="00D1101C">
      <w:pPr>
        <w:pStyle w:val="dou-paragraph"/>
        <w:shd w:val="clear" w:color="auto" w:fill="FFFFFF"/>
        <w:spacing w:before="120" w:beforeAutospacing="0" w:after="0" w:afterAutospacing="0"/>
        <w:ind w:firstLine="1200"/>
        <w:rPr>
          <w:rFonts w:ascii="Arial" w:eastAsia="Arial" w:hAnsi="Arial" w:cs="Arial"/>
        </w:rPr>
      </w:pPr>
      <w:r w:rsidRPr="002514A8">
        <w:rPr>
          <w:rFonts w:ascii="Arial" w:eastAsia="Arial" w:hAnsi="Arial" w:cs="Arial"/>
        </w:rPr>
        <w:lastRenderedPageBreak/>
        <w:t xml:space="preserve">§ 2º </w:t>
      </w:r>
      <w:r w:rsidR="000C7524" w:rsidRPr="002514A8">
        <w:rPr>
          <w:rFonts w:ascii="Arial" w:eastAsia="Arial" w:hAnsi="Arial" w:cs="Arial"/>
        </w:rPr>
        <w:t xml:space="preserve">A </w:t>
      </w:r>
      <w:r w:rsidR="00C03AAB" w:rsidRPr="002514A8">
        <w:rPr>
          <w:rFonts w:ascii="Arial" w:eastAsia="Arial" w:hAnsi="Arial" w:cs="Arial"/>
        </w:rPr>
        <w:t>unidade técnica</w:t>
      </w:r>
      <w:r w:rsidR="000B2957" w:rsidRPr="002514A8">
        <w:rPr>
          <w:rFonts w:ascii="Arial" w:eastAsia="Arial" w:hAnsi="Arial" w:cs="Arial"/>
        </w:rPr>
        <w:t xml:space="preserve"> </w:t>
      </w:r>
      <w:r w:rsidR="001B7CB3" w:rsidRPr="002514A8">
        <w:rPr>
          <w:rFonts w:ascii="Arial" w:eastAsia="Arial" w:hAnsi="Arial" w:cs="Arial"/>
        </w:rPr>
        <w:t xml:space="preserve">emitirá </w:t>
      </w:r>
      <w:r w:rsidR="00F73610" w:rsidRPr="002514A8">
        <w:rPr>
          <w:rFonts w:ascii="Arial" w:eastAsia="Arial" w:hAnsi="Arial" w:cs="Arial"/>
        </w:rPr>
        <w:t>manifestação</w:t>
      </w:r>
      <w:r w:rsidR="001B7CB3" w:rsidRPr="002514A8">
        <w:rPr>
          <w:rFonts w:ascii="Arial" w:eastAsia="Arial" w:hAnsi="Arial" w:cs="Arial"/>
        </w:rPr>
        <w:t xml:space="preserve"> conclusiv</w:t>
      </w:r>
      <w:r w:rsidR="00F73610" w:rsidRPr="002514A8">
        <w:rPr>
          <w:rFonts w:ascii="Arial" w:eastAsia="Arial" w:hAnsi="Arial" w:cs="Arial"/>
        </w:rPr>
        <w:t>a</w:t>
      </w:r>
      <w:r w:rsidR="001B7CB3" w:rsidRPr="002514A8">
        <w:rPr>
          <w:rFonts w:ascii="Arial" w:eastAsia="Arial" w:hAnsi="Arial" w:cs="Arial"/>
        </w:rPr>
        <w:t xml:space="preserve"> exclusivamente sobre a análise da execução orçamentária e financeira dos recursos públicos </w:t>
      </w:r>
      <w:r w:rsidR="00F73610" w:rsidRPr="002514A8">
        <w:rPr>
          <w:rFonts w:ascii="Arial" w:eastAsia="Arial" w:hAnsi="Arial" w:cs="Arial"/>
        </w:rPr>
        <w:t>referida n</w:t>
      </w:r>
      <w:r w:rsidR="001B7CB3" w:rsidRPr="002514A8">
        <w:rPr>
          <w:rFonts w:ascii="Arial" w:eastAsia="Arial" w:hAnsi="Arial" w:cs="Arial"/>
        </w:rPr>
        <w:t xml:space="preserve">o inciso III do </w:t>
      </w:r>
      <w:r w:rsidR="001B7CB3" w:rsidRPr="002514A8">
        <w:rPr>
          <w:rFonts w:ascii="Arial" w:eastAsia="Arial" w:hAnsi="Arial" w:cs="Arial"/>
          <w:i/>
          <w:iCs/>
        </w:rPr>
        <w:t>caput</w:t>
      </w:r>
      <w:r w:rsidR="001B7CB3" w:rsidRPr="002514A8">
        <w:rPr>
          <w:rFonts w:ascii="Arial" w:eastAsia="Arial" w:hAnsi="Arial" w:cs="Arial"/>
        </w:rPr>
        <w:t xml:space="preserve"> deste artigo.</w:t>
      </w:r>
    </w:p>
    <w:p w14:paraId="144B7511" w14:textId="77777777" w:rsidR="00F10980" w:rsidRPr="002514A8" w:rsidRDefault="00223954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3º </w:t>
      </w:r>
      <w:r w:rsidR="00F73610" w:rsidRPr="002514A8">
        <w:rPr>
          <w:rFonts w:eastAsia="Arial" w:cs="Arial"/>
        </w:rPr>
        <w:t>A instrução de que trata este artigo poderá</w:t>
      </w:r>
      <w:r w:rsidR="00F10980" w:rsidRPr="002514A8">
        <w:rPr>
          <w:rFonts w:eastAsia="Arial" w:cs="Arial"/>
        </w:rPr>
        <w:t xml:space="preserve"> </w:t>
      </w:r>
      <w:r w:rsidR="00F73610" w:rsidRPr="002514A8">
        <w:rPr>
          <w:rFonts w:eastAsia="Arial" w:cs="Arial"/>
        </w:rPr>
        <w:t>conter</w:t>
      </w:r>
      <w:r w:rsidR="00F10980" w:rsidRPr="002514A8">
        <w:rPr>
          <w:rFonts w:eastAsia="Arial" w:cs="Arial"/>
        </w:rPr>
        <w:t xml:space="preserve"> </w:t>
      </w:r>
      <w:r w:rsidR="000D222E" w:rsidRPr="002514A8">
        <w:rPr>
          <w:rFonts w:eastAsia="Arial" w:cs="Arial"/>
        </w:rPr>
        <w:t>links de acesso</w:t>
      </w:r>
      <w:r w:rsidR="006A7867" w:rsidRPr="002514A8">
        <w:rPr>
          <w:rFonts w:eastAsia="Arial" w:cs="Arial"/>
        </w:rPr>
        <w:t xml:space="preserve"> (URL)</w:t>
      </w:r>
      <w:r w:rsidR="00F10980" w:rsidRPr="002514A8">
        <w:rPr>
          <w:rFonts w:eastAsia="Arial" w:cs="Arial"/>
        </w:rPr>
        <w:t xml:space="preserve"> </w:t>
      </w:r>
      <w:r w:rsidR="008E7C5C" w:rsidRPr="002514A8">
        <w:rPr>
          <w:rFonts w:eastAsia="Arial" w:cs="Arial"/>
        </w:rPr>
        <w:t>a informações</w:t>
      </w:r>
      <w:r w:rsidR="00F10980" w:rsidRPr="002514A8">
        <w:rPr>
          <w:rFonts w:eastAsia="Arial" w:cs="Arial"/>
        </w:rPr>
        <w:t xml:space="preserve"> que detalhem a análise realizada pela </w:t>
      </w:r>
      <w:r w:rsidR="00C03AAB" w:rsidRPr="002514A8">
        <w:rPr>
          <w:rFonts w:eastAsia="Arial" w:cs="Arial"/>
        </w:rPr>
        <w:t>unidade técnica</w:t>
      </w:r>
      <w:r w:rsidR="00F10980" w:rsidRPr="002514A8">
        <w:rPr>
          <w:rFonts w:eastAsia="Arial" w:cs="Arial"/>
        </w:rPr>
        <w:t>, as quais serão consideradas partes integrantes do processo de contas</w:t>
      </w:r>
      <w:r w:rsidR="008E7C5C" w:rsidRPr="002514A8">
        <w:rPr>
          <w:rFonts w:eastAsia="Arial" w:cs="Arial"/>
        </w:rPr>
        <w:t>.</w:t>
      </w:r>
    </w:p>
    <w:p w14:paraId="2DD6C4ED" w14:textId="77777777" w:rsidR="003F3FDD" w:rsidRPr="002514A8" w:rsidRDefault="00A55139" w:rsidP="00CE423B">
      <w:pPr>
        <w:pStyle w:val="Ttulo2"/>
        <w:spacing w:after="0"/>
        <w:rPr>
          <w:rFonts w:eastAsia="Arial" w:cs="Arial"/>
        </w:rPr>
      </w:pPr>
      <w:bookmarkStart w:id="89" w:name="_Toc103326121"/>
      <w:bookmarkStart w:id="90" w:name="_Toc104385385"/>
      <w:bookmarkStart w:id="91" w:name="_Toc108448556"/>
      <w:r w:rsidRPr="002514A8">
        <w:rPr>
          <w:rFonts w:eastAsia="Arial" w:cs="Arial"/>
        </w:rPr>
        <w:t>Seção</w:t>
      </w:r>
      <w:r w:rsidR="00716FD0" w:rsidRPr="002514A8">
        <w:rPr>
          <w:rFonts w:eastAsia="Arial" w:cs="Arial"/>
        </w:rPr>
        <w:t xml:space="preserve"> I</w:t>
      </w:r>
      <w:bookmarkEnd w:id="89"/>
      <w:bookmarkEnd w:id="90"/>
      <w:bookmarkEnd w:id="91"/>
    </w:p>
    <w:p w14:paraId="234D70F8" w14:textId="77777777" w:rsidR="000A3F6E" w:rsidRPr="002514A8" w:rsidRDefault="00481C2E" w:rsidP="00BE44CA">
      <w:pPr>
        <w:pStyle w:val="Ttulo2"/>
        <w:spacing w:before="0" w:after="240"/>
        <w:rPr>
          <w:rFonts w:eastAsia="Arial" w:cs="Arial"/>
        </w:rPr>
      </w:pPr>
      <w:bookmarkStart w:id="92" w:name="_Toc103326122"/>
      <w:bookmarkStart w:id="93" w:name="_Toc104385386"/>
      <w:bookmarkStart w:id="94" w:name="_Toc108448557"/>
      <w:r w:rsidRPr="002514A8">
        <w:rPr>
          <w:rFonts w:eastAsia="Arial" w:cs="Arial"/>
        </w:rPr>
        <w:t>Da D</w:t>
      </w:r>
      <w:r w:rsidR="00A55139" w:rsidRPr="002514A8">
        <w:rPr>
          <w:rFonts w:eastAsia="Arial" w:cs="Arial"/>
        </w:rPr>
        <w:t>escrição da Conjuntura Social, Econômica e Política</w:t>
      </w:r>
      <w:bookmarkEnd w:id="92"/>
      <w:bookmarkEnd w:id="93"/>
      <w:bookmarkEnd w:id="94"/>
    </w:p>
    <w:p w14:paraId="6CF3AEC3" w14:textId="77777777" w:rsidR="00716FD0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19. </w:t>
      </w:r>
      <w:r w:rsidR="006C6465" w:rsidRPr="002514A8">
        <w:rPr>
          <w:rFonts w:eastAsia="Arial" w:cs="Arial"/>
        </w:rPr>
        <w:t>A descrição da conjuntura social, econômica e política consist</w:t>
      </w:r>
      <w:r w:rsidR="00E76EC1" w:rsidRPr="002514A8">
        <w:rPr>
          <w:rFonts w:eastAsia="Arial" w:cs="Arial"/>
        </w:rPr>
        <w:t>irá</w:t>
      </w:r>
      <w:r w:rsidR="00203903" w:rsidRPr="002514A8">
        <w:rPr>
          <w:rFonts w:eastAsia="Arial" w:cs="Arial"/>
        </w:rPr>
        <w:t xml:space="preserve"> </w:t>
      </w:r>
      <w:r w:rsidR="003345EE" w:rsidRPr="002514A8">
        <w:rPr>
          <w:rFonts w:eastAsia="Arial" w:cs="Arial"/>
        </w:rPr>
        <w:t>em apresentação de informações gerais do</w:t>
      </w:r>
      <w:r w:rsidR="006A49EA" w:rsidRPr="002514A8">
        <w:rPr>
          <w:rFonts w:eastAsia="Arial" w:cs="Arial"/>
        </w:rPr>
        <w:t xml:space="preserve"> Município</w:t>
      </w:r>
      <w:r w:rsidR="003345EE" w:rsidRPr="002514A8">
        <w:rPr>
          <w:rFonts w:eastAsia="Arial" w:cs="Arial"/>
        </w:rPr>
        <w:t xml:space="preserve">, </w:t>
      </w:r>
      <w:r w:rsidR="00F90247" w:rsidRPr="002514A8">
        <w:rPr>
          <w:rFonts w:eastAsia="Arial" w:cs="Arial"/>
        </w:rPr>
        <w:t>como</w:t>
      </w:r>
      <w:r w:rsidR="006A49EA" w:rsidRPr="002514A8">
        <w:rPr>
          <w:rFonts w:eastAsia="Arial" w:cs="Arial"/>
        </w:rPr>
        <w:t xml:space="preserve"> </w:t>
      </w:r>
      <w:r w:rsidR="00226076" w:rsidRPr="002514A8">
        <w:rPr>
          <w:rFonts w:eastAsia="Arial" w:cs="Arial"/>
        </w:rPr>
        <w:t>localização</w:t>
      </w:r>
      <w:r w:rsidR="00444CF1" w:rsidRPr="002514A8">
        <w:rPr>
          <w:rFonts w:eastAsia="Arial" w:cs="Arial"/>
        </w:rPr>
        <w:t>,</w:t>
      </w:r>
      <w:r w:rsidR="006A49EA" w:rsidRPr="002514A8">
        <w:rPr>
          <w:rFonts w:eastAsia="Arial" w:cs="Arial"/>
        </w:rPr>
        <w:t xml:space="preserve"> </w:t>
      </w:r>
      <w:r w:rsidR="00226076" w:rsidRPr="002514A8">
        <w:rPr>
          <w:rFonts w:eastAsia="Arial" w:cs="Arial"/>
        </w:rPr>
        <w:t xml:space="preserve">limites territoriais, população, densidade demográfica, atividades econômicas, </w:t>
      </w:r>
      <w:r w:rsidR="003345EE" w:rsidRPr="002514A8">
        <w:rPr>
          <w:rFonts w:eastAsia="Arial" w:cs="Arial"/>
        </w:rPr>
        <w:t>entre outras</w:t>
      </w:r>
      <w:r w:rsidR="00FA2E4A" w:rsidRPr="002514A8">
        <w:rPr>
          <w:rFonts w:eastAsia="Arial" w:cs="Arial"/>
        </w:rPr>
        <w:t>.</w:t>
      </w:r>
    </w:p>
    <w:p w14:paraId="5B84526B" w14:textId="77777777" w:rsidR="000A3F6E" w:rsidRPr="002514A8" w:rsidRDefault="008C7AF0" w:rsidP="00C2083B">
      <w:pPr>
        <w:spacing w:after="0"/>
        <w:rPr>
          <w:rFonts w:eastAsia="Arial" w:cs="Arial"/>
          <w:lang w:eastAsia="pt-BR"/>
        </w:rPr>
      </w:pPr>
      <w:r w:rsidRPr="002514A8">
        <w:rPr>
          <w:rFonts w:eastAsia="Arial" w:cs="Arial"/>
          <w:lang w:eastAsia="pt-BR"/>
        </w:rPr>
        <w:t xml:space="preserve">Parágrafo único. </w:t>
      </w:r>
      <w:r w:rsidR="003F6871" w:rsidRPr="002514A8">
        <w:rPr>
          <w:rFonts w:eastAsia="Arial" w:cs="Arial"/>
        </w:rPr>
        <w:t xml:space="preserve">Não haverá juízo de valor da </w:t>
      </w:r>
      <w:r w:rsidR="00C03AAB" w:rsidRPr="002514A8">
        <w:rPr>
          <w:rFonts w:eastAsia="Arial" w:cs="Arial"/>
        </w:rPr>
        <w:t>unidade técnica</w:t>
      </w:r>
      <w:r w:rsidR="003F6871" w:rsidRPr="002514A8">
        <w:rPr>
          <w:rFonts w:eastAsia="Arial" w:cs="Arial"/>
        </w:rPr>
        <w:t xml:space="preserve"> sobre a regularidade ou irregularidade </w:t>
      </w:r>
      <w:r w:rsidR="0040071D" w:rsidRPr="002514A8">
        <w:rPr>
          <w:rFonts w:eastAsia="Arial" w:cs="Arial"/>
        </w:rPr>
        <w:t xml:space="preserve">das contas </w:t>
      </w:r>
      <w:r w:rsidRPr="002514A8">
        <w:rPr>
          <w:rFonts w:eastAsia="Arial" w:cs="Arial"/>
          <w:lang w:eastAsia="pt-BR"/>
        </w:rPr>
        <w:t xml:space="preserve">com fundamento na descrição </w:t>
      </w:r>
      <w:r w:rsidR="00E76EC1" w:rsidRPr="002514A8">
        <w:rPr>
          <w:rFonts w:eastAsia="Arial" w:cs="Arial"/>
          <w:lang w:eastAsia="pt-BR"/>
        </w:rPr>
        <w:t>tratada neste artigo.</w:t>
      </w:r>
    </w:p>
    <w:p w14:paraId="7E5ABC24" w14:textId="77777777" w:rsidR="003F3FDD" w:rsidRPr="002514A8" w:rsidRDefault="00A55139" w:rsidP="00CE423B">
      <w:pPr>
        <w:pStyle w:val="Ttulo2"/>
        <w:spacing w:after="0"/>
        <w:rPr>
          <w:rFonts w:eastAsia="Arial" w:cs="Arial"/>
        </w:rPr>
      </w:pPr>
      <w:bookmarkStart w:id="95" w:name="_Ref98334149"/>
      <w:bookmarkStart w:id="96" w:name="_Toc103326123"/>
      <w:bookmarkStart w:id="97" w:name="_Toc104385387"/>
      <w:bookmarkStart w:id="98" w:name="_Toc108448558"/>
      <w:r w:rsidRPr="002514A8">
        <w:rPr>
          <w:rFonts w:eastAsia="Arial" w:cs="Arial"/>
        </w:rPr>
        <w:t>Seção</w:t>
      </w:r>
      <w:r w:rsidR="005E46CD" w:rsidRPr="002514A8">
        <w:rPr>
          <w:rFonts w:eastAsia="Arial" w:cs="Arial"/>
        </w:rPr>
        <w:t xml:space="preserve"> I</w:t>
      </w:r>
      <w:r w:rsidR="004D1FF8" w:rsidRPr="002514A8">
        <w:rPr>
          <w:rFonts w:eastAsia="Arial" w:cs="Arial"/>
        </w:rPr>
        <w:t>I</w:t>
      </w:r>
      <w:bookmarkEnd w:id="95"/>
      <w:bookmarkEnd w:id="96"/>
      <w:bookmarkEnd w:id="97"/>
      <w:bookmarkEnd w:id="98"/>
    </w:p>
    <w:p w14:paraId="79F0B925" w14:textId="77777777" w:rsidR="005E46CD" w:rsidRPr="002514A8" w:rsidRDefault="00481C2E" w:rsidP="00BE44CA">
      <w:pPr>
        <w:pStyle w:val="Ttulo2"/>
        <w:spacing w:before="0" w:after="240"/>
        <w:rPr>
          <w:rFonts w:eastAsia="Arial" w:cs="Arial"/>
        </w:rPr>
      </w:pPr>
      <w:bookmarkStart w:id="99" w:name="_Ref98334139"/>
      <w:bookmarkStart w:id="100" w:name="_Ref98334143"/>
      <w:bookmarkStart w:id="101" w:name="_Toc103326124"/>
      <w:bookmarkStart w:id="102" w:name="_Toc104385388"/>
      <w:bookmarkStart w:id="103" w:name="_Toc108448559"/>
      <w:r w:rsidRPr="002514A8">
        <w:rPr>
          <w:rFonts w:eastAsia="Arial" w:cs="Arial"/>
        </w:rPr>
        <w:t>Da A</w:t>
      </w:r>
      <w:r w:rsidR="00A55139" w:rsidRPr="002514A8">
        <w:rPr>
          <w:rFonts w:eastAsia="Arial" w:cs="Arial"/>
        </w:rPr>
        <w:t>valiação da Implementação de Políticas Públicas</w:t>
      </w:r>
      <w:bookmarkEnd w:id="99"/>
      <w:bookmarkEnd w:id="100"/>
      <w:bookmarkEnd w:id="101"/>
      <w:bookmarkEnd w:id="102"/>
      <w:bookmarkEnd w:id="103"/>
    </w:p>
    <w:p w14:paraId="22FBBB40" w14:textId="77777777" w:rsidR="00FA2E4A" w:rsidRPr="002514A8" w:rsidRDefault="00A42C3E" w:rsidP="00C2083B">
      <w:pPr>
        <w:spacing w:after="0"/>
        <w:rPr>
          <w:rFonts w:eastAsia="Arial" w:cs="Arial"/>
        </w:rPr>
      </w:pPr>
      <w:bookmarkStart w:id="104" w:name="_Ref98158046"/>
      <w:bookmarkStart w:id="105" w:name="_Ref100739585"/>
      <w:r w:rsidRPr="002514A8">
        <w:rPr>
          <w:rFonts w:eastAsia="Arial" w:cs="Arial"/>
          <w:b/>
          <w:bCs/>
        </w:rPr>
        <w:t xml:space="preserve">Art. 20. </w:t>
      </w:r>
      <w:r w:rsidR="00F30318" w:rsidRPr="002514A8">
        <w:rPr>
          <w:rFonts w:eastAsia="Arial" w:cs="Arial"/>
        </w:rPr>
        <w:t>A</w:t>
      </w:r>
      <w:r w:rsidR="00FA2E4A" w:rsidRPr="002514A8">
        <w:rPr>
          <w:rFonts w:eastAsia="Arial" w:cs="Arial"/>
        </w:rPr>
        <w:t xml:space="preserve"> avaliação da implementação de políticas públicas consist</w:t>
      </w:r>
      <w:r w:rsidR="00E76EC1" w:rsidRPr="002514A8">
        <w:rPr>
          <w:rFonts w:eastAsia="Arial" w:cs="Arial"/>
        </w:rPr>
        <w:t>irá</w:t>
      </w:r>
      <w:r w:rsidR="00FA2E4A" w:rsidRPr="002514A8">
        <w:rPr>
          <w:rFonts w:eastAsia="Arial" w:cs="Arial"/>
        </w:rPr>
        <w:t xml:space="preserve"> em </w:t>
      </w:r>
      <w:r w:rsidR="00F30318" w:rsidRPr="002514A8">
        <w:rPr>
          <w:rFonts w:eastAsia="Arial" w:cs="Arial"/>
        </w:rPr>
        <w:t>análise</w:t>
      </w:r>
      <w:r w:rsidR="00FA2E4A" w:rsidRPr="002514A8">
        <w:rPr>
          <w:rFonts w:eastAsia="Arial" w:cs="Arial"/>
        </w:rPr>
        <w:t xml:space="preserve"> objetiva e sistemática </w:t>
      </w:r>
      <w:r w:rsidR="00862D6C" w:rsidRPr="002514A8">
        <w:rPr>
          <w:rFonts w:eastAsia="Arial" w:cs="Arial"/>
        </w:rPr>
        <w:t xml:space="preserve">das </w:t>
      </w:r>
      <w:r w:rsidR="00FA2E4A" w:rsidRPr="002514A8">
        <w:rPr>
          <w:rFonts w:eastAsia="Arial" w:cs="Arial"/>
        </w:rPr>
        <w:t xml:space="preserve">políticas implementadas pelo Município, nos termos do </w:t>
      </w:r>
      <w:r w:rsidR="00F80964" w:rsidRPr="002514A8">
        <w:rPr>
          <w:rFonts w:eastAsia="Arial" w:cs="Arial"/>
          <w:i/>
          <w:iCs/>
        </w:rPr>
        <w:t>caput</w:t>
      </w:r>
      <w:r w:rsidR="00FA2E4A" w:rsidRPr="002514A8">
        <w:rPr>
          <w:rFonts w:eastAsia="Arial" w:cs="Arial"/>
        </w:rPr>
        <w:t xml:space="preserve"> do art. 217-A do Regimento Interno, realizada a partir dos dados encaminhados na forma do</w:t>
      </w:r>
      <w:r w:rsidR="00776091" w:rsidRPr="002514A8">
        <w:rPr>
          <w:rFonts w:eastAsia="Arial" w:cs="Arial"/>
        </w:rPr>
        <w:t xml:space="preserve"> inciso II do</w:t>
      </w:r>
      <w:bookmarkEnd w:id="104"/>
      <w:r w:rsidR="008E5ED9" w:rsidRPr="002514A8">
        <w:rPr>
          <w:rFonts w:eastAsia="Arial" w:cs="Arial"/>
        </w:rPr>
        <w:t xml:space="preserve"> art. 5º</w:t>
      </w:r>
      <w:r w:rsidR="00776091" w:rsidRPr="002514A8">
        <w:rPr>
          <w:rFonts w:eastAsia="Arial" w:cs="Arial"/>
        </w:rPr>
        <w:t>.</w:t>
      </w:r>
      <w:bookmarkEnd w:id="105"/>
    </w:p>
    <w:p w14:paraId="2E4B5500" w14:textId="77777777" w:rsidR="00FA2E4A" w:rsidRPr="002514A8" w:rsidRDefault="000F7021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 w:rsidRPr="002514A8">
        <w:rPr>
          <w:rFonts w:eastAsia="Arial" w:cs="Arial"/>
        </w:rPr>
        <w:t>§ 1º</w:t>
      </w:r>
      <w:r w:rsidR="00FA2E4A" w:rsidRPr="002514A8">
        <w:rPr>
          <w:rFonts w:eastAsia="Arial" w:cs="Arial"/>
        </w:rPr>
        <w:t xml:space="preserve"> Não haverá juízo de valor </w:t>
      </w:r>
      <w:r w:rsidR="003F6871" w:rsidRPr="002514A8">
        <w:rPr>
          <w:rFonts w:eastAsia="Arial" w:cs="Arial"/>
        </w:rPr>
        <w:t>da</w:t>
      </w:r>
      <w:r w:rsidR="00FA2E4A" w:rsidRPr="002514A8">
        <w:rPr>
          <w:rFonts w:eastAsia="Arial" w:cs="Arial"/>
        </w:rPr>
        <w:t xml:space="preserve"> </w:t>
      </w:r>
      <w:r w:rsidR="00C03AAB" w:rsidRPr="002514A8">
        <w:rPr>
          <w:rFonts w:eastAsia="Arial" w:cs="Arial"/>
        </w:rPr>
        <w:t>unidade técnica</w:t>
      </w:r>
      <w:r w:rsidR="00FA2E4A" w:rsidRPr="002514A8">
        <w:rPr>
          <w:rFonts w:eastAsia="Arial" w:cs="Arial"/>
        </w:rPr>
        <w:t xml:space="preserve"> </w:t>
      </w:r>
      <w:r w:rsidR="003F6871" w:rsidRPr="002514A8">
        <w:rPr>
          <w:rFonts w:eastAsia="Arial" w:cs="Arial"/>
        </w:rPr>
        <w:t xml:space="preserve">sobre a </w:t>
      </w:r>
      <w:r w:rsidR="00FA2E4A" w:rsidRPr="002514A8">
        <w:rPr>
          <w:rFonts w:eastAsia="Arial" w:cs="Arial"/>
        </w:rPr>
        <w:t>regularidade ou irregularidade</w:t>
      </w:r>
      <w:r w:rsidR="00E76EC1" w:rsidRPr="002514A8">
        <w:rPr>
          <w:rFonts w:eastAsia="Arial" w:cs="Arial"/>
        </w:rPr>
        <w:t xml:space="preserve"> </w:t>
      </w:r>
      <w:r w:rsidR="0040071D" w:rsidRPr="002514A8">
        <w:rPr>
          <w:rFonts w:eastAsia="Arial" w:cs="Arial"/>
        </w:rPr>
        <w:t xml:space="preserve">das contas </w:t>
      </w:r>
      <w:r w:rsidR="00E76EC1" w:rsidRPr="002514A8">
        <w:rPr>
          <w:rFonts w:eastAsia="Arial" w:cs="Arial"/>
        </w:rPr>
        <w:t xml:space="preserve">com fundamento </w:t>
      </w:r>
      <w:r w:rsidR="00F73610" w:rsidRPr="002514A8">
        <w:rPr>
          <w:rFonts w:eastAsia="Arial" w:cs="Arial"/>
        </w:rPr>
        <w:t>na avaliação</w:t>
      </w:r>
      <w:r w:rsidR="00E76EC1" w:rsidRPr="002514A8">
        <w:rPr>
          <w:rFonts w:eastAsia="Arial" w:cs="Arial"/>
        </w:rPr>
        <w:t xml:space="preserve"> tratad</w:t>
      </w:r>
      <w:r w:rsidR="00F73610" w:rsidRPr="002514A8">
        <w:rPr>
          <w:rFonts w:eastAsia="Arial" w:cs="Arial"/>
        </w:rPr>
        <w:t xml:space="preserve">a </w:t>
      </w:r>
      <w:r w:rsidR="00E76EC1" w:rsidRPr="002514A8">
        <w:rPr>
          <w:rFonts w:eastAsia="Arial" w:cs="Arial"/>
        </w:rPr>
        <w:t>neste artigo.</w:t>
      </w:r>
    </w:p>
    <w:p w14:paraId="1B08B72C" w14:textId="77777777" w:rsidR="0077261B" w:rsidRPr="002514A8" w:rsidRDefault="000F7021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2º </w:t>
      </w:r>
      <w:r w:rsidR="00D17660" w:rsidRPr="002514A8">
        <w:rPr>
          <w:rFonts w:eastAsia="Arial" w:cs="Arial"/>
        </w:rPr>
        <w:t xml:space="preserve">O </w:t>
      </w:r>
      <w:r w:rsidR="0077261B" w:rsidRPr="002514A8">
        <w:rPr>
          <w:rFonts w:eastAsia="Arial" w:cs="Arial"/>
        </w:rPr>
        <w:t xml:space="preserve">relatório </w:t>
      </w:r>
      <w:r w:rsidRPr="002514A8">
        <w:rPr>
          <w:rFonts w:eastAsia="Arial" w:cs="Arial"/>
        </w:rPr>
        <w:t xml:space="preserve">de que trata este artigo </w:t>
      </w:r>
      <w:r w:rsidR="0077261B" w:rsidRPr="002514A8">
        <w:rPr>
          <w:rFonts w:eastAsia="Arial" w:cs="Arial"/>
        </w:rPr>
        <w:t xml:space="preserve">deverá conter base </w:t>
      </w:r>
      <w:r w:rsidRPr="002514A8">
        <w:rPr>
          <w:rFonts w:eastAsia="Arial" w:cs="Arial"/>
        </w:rPr>
        <w:t>histórica do Município, que permit</w:t>
      </w:r>
      <w:r w:rsidR="00FC242B" w:rsidRPr="002514A8">
        <w:rPr>
          <w:rFonts w:eastAsia="Arial" w:cs="Arial"/>
        </w:rPr>
        <w:t>irá</w:t>
      </w:r>
      <w:r w:rsidRPr="002514A8">
        <w:rPr>
          <w:rFonts w:eastAsia="Arial" w:cs="Arial"/>
        </w:rPr>
        <w:t xml:space="preserve"> </w:t>
      </w:r>
      <w:r w:rsidR="00B45CA6" w:rsidRPr="002514A8">
        <w:rPr>
          <w:rFonts w:eastAsia="Arial" w:cs="Arial"/>
        </w:rPr>
        <w:t>o exame</w:t>
      </w:r>
      <w:r w:rsidR="00D533C2" w:rsidRPr="002514A8">
        <w:rPr>
          <w:rFonts w:eastAsia="Arial" w:cs="Arial"/>
        </w:rPr>
        <w:t xml:space="preserve"> da evolução da implementação de políticas públicas ao longo do tempo</w:t>
      </w:r>
      <w:r w:rsidRPr="002514A8">
        <w:rPr>
          <w:rFonts w:eastAsia="Arial" w:cs="Arial"/>
        </w:rPr>
        <w:t>.</w:t>
      </w:r>
    </w:p>
    <w:p w14:paraId="3867C21D" w14:textId="77777777" w:rsidR="00FA2E4A" w:rsidRPr="002514A8" w:rsidRDefault="00A42C3E" w:rsidP="00C2083B">
      <w:pPr>
        <w:spacing w:after="0"/>
        <w:rPr>
          <w:rFonts w:eastAsia="Arial" w:cs="Arial"/>
        </w:rPr>
      </w:pPr>
      <w:bookmarkStart w:id="106" w:name="_Ref98332077"/>
      <w:r w:rsidRPr="002514A8">
        <w:rPr>
          <w:rFonts w:eastAsia="Arial" w:cs="Arial"/>
          <w:b/>
          <w:bCs/>
        </w:rPr>
        <w:t xml:space="preserve">Art. 21. </w:t>
      </w:r>
      <w:r w:rsidR="00E76EC1" w:rsidRPr="002514A8">
        <w:rPr>
          <w:rFonts w:eastAsia="Arial" w:cs="Arial"/>
        </w:rPr>
        <w:t xml:space="preserve">A avaliação </w:t>
      </w:r>
      <w:r w:rsidR="00F73610" w:rsidRPr="002514A8">
        <w:rPr>
          <w:rFonts w:eastAsia="Arial" w:cs="Arial"/>
        </w:rPr>
        <w:t>realizada na for</w:t>
      </w:r>
      <w:r w:rsidR="00E63702" w:rsidRPr="002514A8">
        <w:rPr>
          <w:rFonts w:eastAsia="Arial" w:cs="Arial"/>
        </w:rPr>
        <w:t>m</w:t>
      </w:r>
      <w:r w:rsidR="00F73610" w:rsidRPr="002514A8">
        <w:rPr>
          <w:rFonts w:eastAsia="Arial" w:cs="Arial"/>
        </w:rPr>
        <w:t xml:space="preserve">a desta </w:t>
      </w:r>
      <w:r w:rsidR="00C02657" w:rsidRPr="002514A8">
        <w:rPr>
          <w:rFonts w:eastAsia="Arial" w:cs="Arial"/>
        </w:rPr>
        <w:t>s</w:t>
      </w:r>
      <w:r w:rsidR="00F73610" w:rsidRPr="002514A8">
        <w:rPr>
          <w:rFonts w:eastAsia="Arial" w:cs="Arial"/>
        </w:rPr>
        <w:t>eção</w:t>
      </w:r>
      <w:r w:rsidR="00FA2E4A" w:rsidRPr="002514A8">
        <w:rPr>
          <w:rFonts w:eastAsia="Arial" w:cs="Arial"/>
        </w:rPr>
        <w:t xml:space="preserve"> compreenderá as áreas</w:t>
      </w:r>
      <w:r w:rsidR="005C6090" w:rsidRPr="002514A8">
        <w:rPr>
          <w:rFonts w:eastAsia="Arial" w:cs="Arial"/>
        </w:rPr>
        <w:t xml:space="preserve"> de </w:t>
      </w:r>
      <w:r w:rsidR="00747347" w:rsidRPr="002514A8">
        <w:rPr>
          <w:rFonts w:eastAsia="Arial" w:cs="Arial"/>
        </w:rPr>
        <w:t>avaliação</w:t>
      </w:r>
      <w:r w:rsidR="00FA2E4A" w:rsidRPr="002514A8">
        <w:rPr>
          <w:rFonts w:eastAsia="Arial" w:cs="Arial"/>
        </w:rPr>
        <w:t xml:space="preserve"> </w:t>
      </w:r>
      <w:r w:rsidR="00946CBA" w:rsidRPr="002514A8">
        <w:rPr>
          <w:rFonts w:eastAsia="Arial" w:cs="Arial"/>
        </w:rPr>
        <w:t xml:space="preserve">definidas </w:t>
      </w:r>
      <w:r w:rsidR="00F73610" w:rsidRPr="002514A8">
        <w:rPr>
          <w:rFonts w:eastAsia="Arial" w:cs="Arial"/>
        </w:rPr>
        <w:t>nos termos</w:t>
      </w:r>
      <w:r w:rsidR="00946CBA" w:rsidRPr="002514A8">
        <w:rPr>
          <w:rFonts w:eastAsia="Arial" w:cs="Arial"/>
        </w:rPr>
        <w:t xml:space="preserve"> do § 1º do</w:t>
      </w:r>
      <w:r w:rsidR="008E5ED9" w:rsidRPr="002514A8">
        <w:rPr>
          <w:rFonts w:eastAsia="Arial" w:cs="Arial"/>
        </w:rPr>
        <w:t xml:space="preserve"> art. 7º</w:t>
      </w:r>
      <w:r w:rsidR="00FA2E4A" w:rsidRPr="002514A8">
        <w:rPr>
          <w:rFonts w:eastAsia="Arial" w:cs="Arial"/>
        </w:rPr>
        <w:t>.</w:t>
      </w:r>
      <w:bookmarkEnd w:id="106"/>
    </w:p>
    <w:p w14:paraId="7F8EB609" w14:textId="77777777" w:rsidR="00FA2E4A" w:rsidRPr="002514A8" w:rsidRDefault="00FA2E4A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1º </w:t>
      </w:r>
      <w:r w:rsidR="00381929" w:rsidRPr="002514A8">
        <w:rPr>
          <w:rFonts w:eastAsia="Arial" w:cs="Arial"/>
        </w:rPr>
        <w:t xml:space="preserve">A avaliação </w:t>
      </w:r>
      <w:r w:rsidR="00E76EC1" w:rsidRPr="002514A8">
        <w:rPr>
          <w:rFonts w:eastAsia="Arial" w:cs="Arial"/>
        </w:rPr>
        <w:t>prevista n</w:t>
      </w:r>
      <w:r w:rsidR="00381929" w:rsidRPr="002514A8">
        <w:rPr>
          <w:rFonts w:eastAsia="Arial" w:cs="Arial"/>
        </w:rPr>
        <w:t xml:space="preserve">este artigo será realizada separadamente </w:t>
      </w:r>
      <w:r w:rsidR="00F73610" w:rsidRPr="002514A8">
        <w:rPr>
          <w:rFonts w:eastAsia="Arial" w:cs="Arial"/>
        </w:rPr>
        <w:t>por</w:t>
      </w:r>
      <w:r w:rsidR="00381929" w:rsidRPr="002514A8">
        <w:rPr>
          <w:rFonts w:eastAsia="Arial" w:cs="Arial"/>
        </w:rPr>
        <w:t xml:space="preserve"> área</w:t>
      </w:r>
      <w:r w:rsidR="00F73610" w:rsidRPr="002514A8">
        <w:rPr>
          <w:rFonts w:eastAsia="Arial" w:cs="Arial"/>
        </w:rPr>
        <w:t xml:space="preserve"> de governo, à qual</w:t>
      </w:r>
      <w:r w:rsidR="00381929" w:rsidRPr="002514A8">
        <w:rPr>
          <w:rFonts w:eastAsia="Arial" w:cs="Arial"/>
        </w:rPr>
        <w:t xml:space="preserve"> será atribuíd</w:t>
      </w:r>
      <w:r w:rsidR="00F73610" w:rsidRPr="002514A8">
        <w:rPr>
          <w:rFonts w:eastAsia="Arial" w:cs="Arial"/>
        </w:rPr>
        <w:t>o</w:t>
      </w:r>
      <w:r w:rsidR="00381929" w:rsidRPr="002514A8">
        <w:rPr>
          <w:rFonts w:eastAsia="Arial" w:cs="Arial"/>
        </w:rPr>
        <w:t xml:space="preserve"> grau de atendimento </w:t>
      </w:r>
      <w:r w:rsidR="00501327" w:rsidRPr="002514A8">
        <w:rPr>
          <w:rFonts w:eastAsia="Arial" w:cs="Arial"/>
        </w:rPr>
        <w:t>d</w:t>
      </w:r>
      <w:r w:rsidR="00381929" w:rsidRPr="002514A8">
        <w:rPr>
          <w:rFonts w:eastAsia="Arial" w:cs="Arial"/>
        </w:rPr>
        <w:t>e</w:t>
      </w:r>
      <w:r w:rsidR="00501327" w:rsidRPr="002514A8">
        <w:rPr>
          <w:rFonts w:eastAsia="Arial" w:cs="Arial"/>
        </w:rPr>
        <w:t xml:space="preserve"> implementação das políticas públicas</w:t>
      </w:r>
      <w:r w:rsidRPr="002514A8">
        <w:rPr>
          <w:rFonts w:eastAsia="Arial" w:cs="Arial"/>
        </w:rPr>
        <w:t>.</w:t>
      </w:r>
    </w:p>
    <w:p w14:paraId="20EA7FDE" w14:textId="77777777" w:rsidR="00FA2E4A" w:rsidRPr="002514A8" w:rsidRDefault="00FA2E4A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2º A metodologia para apuração do grau de atendimento </w:t>
      </w:r>
      <w:r w:rsidR="00E429F8" w:rsidRPr="002514A8">
        <w:rPr>
          <w:rFonts w:eastAsia="Arial" w:cs="Arial"/>
        </w:rPr>
        <w:t>prevista n</w:t>
      </w:r>
      <w:r w:rsidR="00416D14" w:rsidRPr="002514A8">
        <w:rPr>
          <w:rFonts w:eastAsia="Arial" w:cs="Arial"/>
        </w:rPr>
        <w:t xml:space="preserve">o § 1º deste artigo </w:t>
      </w:r>
      <w:r w:rsidR="00C52BE5" w:rsidRPr="002514A8">
        <w:rPr>
          <w:rFonts w:eastAsia="Arial" w:cs="Arial"/>
        </w:rPr>
        <w:t xml:space="preserve">será definida </w:t>
      </w:r>
      <w:r w:rsidR="00452542" w:rsidRPr="002514A8">
        <w:rPr>
          <w:rFonts w:eastAsia="Arial" w:cs="Arial"/>
        </w:rPr>
        <w:t>em</w:t>
      </w:r>
      <w:r w:rsidR="00B54B3C" w:rsidRPr="002514A8">
        <w:rPr>
          <w:rFonts w:eastAsia="Arial" w:cs="Arial"/>
        </w:rPr>
        <w:t xml:space="preserve"> </w:t>
      </w:r>
      <w:r w:rsidR="00464CC6" w:rsidRPr="002514A8">
        <w:rPr>
          <w:rFonts w:eastAsia="Arial" w:cs="Arial"/>
        </w:rPr>
        <w:t>nota técnica</w:t>
      </w:r>
      <w:r w:rsidR="009568A3" w:rsidRPr="002514A8">
        <w:rPr>
          <w:rFonts w:eastAsia="Arial" w:cs="Arial"/>
        </w:rPr>
        <w:t xml:space="preserve"> a ser emitida pela Coordenadoria-Geral de Fiscalização.</w:t>
      </w:r>
    </w:p>
    <w:p w14:paraId="5F382038" w14:textId="77777777" w:rsidR="00416D14" w:rsidRDefault="00416D14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3º </w:t>
      </w:r>
      <w:r w:rsidR="003D6BD5" w:rsidRPr="002514A8">
        <w:rPr>
          <w:rFonts w:eastAsia="Arial" w:cs="Arial"/>
        </w:rPr>
        <w:t>Quando prejudicada a aplicação da metodologia de que trata o § 2º</w:t>
      </w:r>
      <w:r w:rsidR="008C6466" w:rsidRPr="002514A8">
        <w:rPr>
          <w:rFonts w:eastAsia="Arial" w:cs="Arial"/>
        </w:rPr>
        <w:t xml:space="preserve"> deste artigo</w:t>
      </w:r>
      <w:r w:rsidR="003D6BD5" w:rsidRPr="002514A8">
        <w:rPr>
          <w:rFonts w:eastAsia="Arial" w:cs="Arial"/>
        </w:rPr>
        <w:t>, a</w:t>
      </w:r>
      <w:r w:rsidRPr="002514A8">
        <w:rPr>
          <w:rFonts w:eastAsia="Arial" w:cs="Arial"/>
        </w:rPr>
        <w:t xml:space="preserve"> </w:t>
      </w:r>
      <w:r w:rsidR="00886323" w:rsidRPr="002514A8">
        <w:rPr>
          <w:rFonts w:eastAsia="Arial" w:cs="Arial"/>
        </w:rPr>
        <w:t xml:space="preserve">Coordenadoria-Geral de Fiscalização em conjunto com a </w:t>
      </w:r>
      <w:r w:rsidR="00C03AAB" w:rsidRPr="002514A8">
        <w:rPr>
          <w:rFonts w:eastAsia="Arial" w:cs="Arial"/>
        </w:rPr>
        <w:t>unidade técnica</w:t>
      </w:r>
      <w:r w:rsidR="00026550" w:rsidRPr="002514A8">
        <w:rPr>
          <w:rFonts w:eastAsia="Arial" w:cs="Arial"/>
        </w:rPr>
        <w:t xml:space="preserve"> </w:t>
      </w:r>
      <w:r w:rsidR="000228E8" w:rsidRPr="002514A8">
        <w:rPr>
          <w:rFonts w:eastAsia="Arial" w:cs="Arial"/>
        </w:rPr>
        <w:t>poderá</w:t>
      </w:r>
      <w:r w:rsidR="00C238CB" w:rsidRPr="002514A8">
        <w:rPr>
          <w:rFonts w:eastAsia="Arial" w:cs="Arial"/>
        </w:rPr>
        <w:t xml:space="preserve"> estabelecer</w:t>
      </w:r>
      <w:r w:rsidRPr="002514A8">
        <w:rPr>
          <w:rFonts w:eastAsia="Arial" w:cs="Arial"/>
        </w:rPr>
        <w:t xml:space="preserve"> </w:t>
      </w:r>
      <w:r w:rsidR="00886323" w:rsidRPr="002514A8">
        <w:rPr>
          <w:rFonts w:eastAsia="Arial" w:cs="Arial"/>
        </w:rPr>
        <w:t>metodologia</w:t>
      </w:r>
      <w:r w:rsidRPr="002514A8">
        <w:rPr>
          <w:rFonts w:eastAsia="Arial" w:cs="Arial"/>
        </w:rPr>
        <w:t xml:space="preserve"> </w:t>
      </w:r>
      <w:r w:rsidR="006142D4" w:rsidRPr="002514A8">
        <w:rPr>
          <w:rFonts w:eastAsia="Arial" w:cs="Arial"/>
        </w:rPr>
        <w:t xml:space="preserve">especial </w:t>
      </w:r>
      <w:r w:rsidR="00BB035E" w:rsidRPr="002514A8">
        <w:rPr>
          <w:rFonts w:eastAsia="Arial" w:cs="Arial"/>
        </w:rPr>
        <w:t xml:space="preserve">de </w:t>
      </w:r>
      <w:r w:rsidR="00D91ED1" w:rsidRPr="002514A8">
        <w:rPr>
          <w:rFonts w:eastAsia="Arial" w:cs="Arial"/>
        </w:rPr>
        <w:t>apuração</w:t>
      </w:r>
      <w:r w:rsidR="00886323" w:rsidRPr="002514A8">
        <w:rPr>
          <w:rFonts w:eastAsia="Arial" w:cs="Arial"/>
        </w:rPr>
        <w:t xml:space="preserve"> </w:t>
      </w:r>
      <w:r w:rsidR="00C238CB" w:rsidRPr="002514A8">
        <w:rPr>
          <w:rFonts w:eastAsia="Arial" w:cs="Arial"/>
        </w:rPr>
        <w:t>do grau de atendimento de implementação das políticas públicas</w:t>
      </w:r>
      <w:r w:rsidR="00B90F70" w:rsidRPr="002514A8">
        <w:rPr>
          <w:rFonts w:eastAsia="Arial" w:cs="Arial"/>
        </w:rPr>
        <w:t xml:space="preserve">, </w:t>
      </w:r>
      <w:r w:rsidR="00BA4266" w:rsidRPr="002514A8">
        <w:rPr>
          <w:rFonts w:eastAsia="Arial" w:cs="Arial"/>
        </w:rPr>
        <w:t xml:space="preserve">que se aplicará inclusive aos casos </w:t>
      </w:r>
      <w:r w:rsidR="00C238CB" w:rsidRPr="002514A8">
        <w:rPr>
          <w:rFonts w:eastAsia="Arial" w:cs="Arial"/>
        </w:rPr>
        <w:t>de</w:t>
      </w:r>
      <w:r w:rsidRPr="002514A8">
        <w:rPr>
          <w:rFonts w:eastAsia="Arial" w:cs="Arial"/>
        </w:rPr>
        <w:t xml:space="preserve"> ausência parcial do</w:t>
      </w:r>
      <w:r w:rsidR="00C238CB" w:rsidRPr="002514A8">
        <w:rPr>
          <w:rFonts w:eastAsia="Arial" w:cs="Arial"/>
        </w:rPr>
        <w:t xml:space="preserve"> envio do</w:t>
      </w:r>
      <w:r w:rsidRPr="002514A8">
        <w:rPr>
          <w:rFonts w:eastAsia="Arial" w:cs="Arial"/>
        </w:rPr>
        <w:t xml:space="preserve">s dados </w:t>
      </w:r>
      <w:r w:rsidR="00B80B76" w:rsidRPr="002514A8">
        <w:rPr>
          <w:rFonts w:eastAsia="Arial" w:cs="Arial"/>
        </w:rPr>
        <w:t>mencionados no</w:t>
      </w:r>
      <w:r w:rsidR="0076559F" w:rsidRPr="002514A8">
        <w:rPr>
          <w:rFonts w:eastAsia="Arial" w:cs="Arial"/>
        </w:rPr>
        <w:t xml:space="preserve"> inciso II do</w:t>
      </w:r>
      <w:r w:rsidR="008E5ED9" w:rsidRPr="002514A8">
        <w:rPr>
          <w:rFonts w:eastAsia="Arial" w:cs="Arial"/>
        </w:rPr>
        <w:t xml:space="preserve"> art. 5º</w:t>
      </w:r>
      <w:r w:rsidR="00874A8F" w:rsidRPr="002514A8">
        <w:rPr>
          <w:rFonts w:eastAsia="Arial" w:cs="Arial"/>
        </w:rPr>
        <w:t>.</w:t>
      </w:r>
    </w:p>
    <w:p w14:paraId="6BB85B7B" w14:textId="0413CD13" w:rsidR="00D75771" w:rsidRPr="002514A8" w:rsidRDefault="00D75771" w:rsidP="00C2083B">
      <w:pPr>
        <w:autoSpaceDE w:val="0"/>
        <w:autoSpaceDN w:val="0"/>
        <w:adjustRightInd w:val="0"/>
        <w:spacing w:after="0"/>
        <w:rPr>
          <w:rFonts w:eastAsia="Arial" w:cs="Arial"/>
        </w:rPr>
      </w:pPr>
      <w:r>
        <w:lastRenderedPageBreak/>
        <w:t xml:space="preserve">§ 4º A Coordenadoria-Geral de Fiscalização, por meio de Nota Técnica, divulgará a média geral, por área, das notas de todos os </w:t>
      </w:r>
      <w:r>
        <w:rPr>
          <w:spacing w:val="-2"/>
        </w:rPr>
        <w:t xml:space="preserve">Municípios. </w:t>
      </w:r>
      <w:hyperlink r:id="rId18" w:history="1">
        <w:r w:rsidRPr="00AC046C">
          <w:rPr>
            <w:rStyle w:val="Hyperlink"/>
            <w:rFonts w:cs="Arial"/>
          </w:rPr>
          <w:t xml:space="preserve">(Incluído pela </w:t>
        </w:r>
        <w:r w:rsidRPr="00AC046C">
          <w:rPr>
            <w:rStyle w:val="Hyperlink"/>
          </w:rPr>
          <w:t xml:space="preserve">Instrução Normativa n. </w:t>
        </w:r>
        <w:r w:rsidR="001026B8">
          <w:rPr>
            <w:rStyle w:val="Hyperlink"/>
          </w:rPr>
          <w:t>185/2024</w:t>
        </w:r>
        <w:r w:rsidRPr="00AC046C">
          <w:rPr>
            <w:rStyle w:val="Hyperlink"/>
            <w:rFonts w:cs="Arial"/>
          </w:rPr>
          <w:t>)</w:t>
        </w:r>
      </w:hyperlink>
    </w:p>
    <w:p w14:paraId="0738E382" w14:textId="77777777" w:rsidR="003F3FDD" w:rsidRPr="002514A8" w:rsidRDefault="00A55139" w:rsidP="00CE423B">
      <w:pPr>
        <w:pStyle w:val="Ttulo2"/>
        <w:spacing w:after="0"/>
        <w:rPr>
          <w:rFonts w:eastAsia="Arial" w:cs="Arial"/>
        </w:rPr>
      </w:pPr>
      <w:bookmarkStart w:id="107" w:name="_Toc103326125"/>
      <w:bookmarkStart w:id="108" w:name="_Toc104385389"/>
      <w:bookmarkStart w:id="109" w:name="_Toc108448560"/>
      <w:r w:rsidRPr="002514A8">
        <w:rPr>
          <w:rFonts w:eastAsia="Arial" w:cs="Arial"/>
        </w:rPr>
        <w:t>Seção</w:t>
      </w:r>
      <w:r w:rsidR="004D1FF8" w:rsidRPr="002514A8">
        <w:rPr>
          <w:rFonts w:eastAsia="Arial" w:cs="Arial"/>
        </w:rPr>
        <w:t xml:space="preserve"> III</w:t>
      </w:r>
      <w:bookmarkEnd w:id="107"/>
      <w:bookmarkEnd w:id="108"/>
      <w:bookmarkEnd w:id="109"/>
    </w:p>
    <w:p w14:paraId="2C7C9991" w14:textId="77777777" w:rsidR="004D1FF8" w:rsidRPr="002514A8" w:rsidRDefault="00A55139" w:rsidP="00BE44CA">
      <w:pPr>
        <w:pStyle w:val="Ttulo2"/>
        <w:spacing w:before="0" w:after="240"/>
        <w:rPr>
          <w:rFonts w:eastAsia="Arial" w:cs="Arial"/>
        </w:rPr>
      </w:pPr>
      <w:bookmarkStart w:id="110" w:name="_Toc103326126"/>
      <w:bookmarkStart w:id="111" w:name="_Toc104385390"/>
      <w:bookmarkStart w:id="112" w:name="_Toc108448561"/>
      <w:r w:rsidRPr="002514A8">
        <w:rPr>
          <w:rFonts w:eastAsia="Arial" w:cs="Arial"/>
        </w:rPr>
        <w:t>Do Opinativo sobre a Execução Orçamentária e Financeira</w:t>
      </w:r>
      <w:bookmarkEnd w:id="110"/>
      <w:bookmarkEnd w:id="111"/>
      <w:bookmarkEnd w:id="112"/>
    </w:p>
    <w:p w14:paraId="431C1103" w14:textId="77777777" w:rsidR="00764287" w:rsidRPr="002514A8" w:rsidRDefault="00A42C3E" w:rsidP="00C2083B">
      <w:pPr>
        <w:spacing w:after="0"/>
        <w:rPr>
          <w:rFonts w:eastAsia="Arial" w:cs="Arial"/>
        </w:rPr>
      </w:pPr>
      <w:bookmarkStart w:id="113" w:name="_Ref98146934"/>
      <w:r w:rsidRPr="002514A8">
        <w:rPr>
          <w:rFonts w:eastAsia="Arial" w:cs="Arial"/>
          <w:b/>
          <w:bCs/>
        </w:rPr>
        <w:t xml:space="preserve">Art. 22. </w:t>
      </w:r>
      <w:r w:rsidR="00764287" w:rsidRPr="002514A8">
        <w:rPr>
          <w:rFonts w:eastAsia="Arial" w:cs="Arial"/>
        </w:rPr>
        <w:t xml:space="preserve">O </w:t>
      </w:r>
      <w:r w:rsidR="000C2601" w:rsidRPr="002514A8">
        <w:rPr>
          <w:rFonts w:eastAsia="Arial" w:cs="Arial"/>
        </w:rPr>
        <w:t>opinativo sobre a</w:t>
      </w:r>
      <w:r w:rsidR="00764287" w:rsidRPr="002514A8">
        <w:rPr>
          <w:rFonts w:eastAsia="Arial" w:cs="Arial"/>
        </w:rPr>
        <w:t xml:space="preserve"> avaliação da execução orçamentária e financeira consist</w:t>
      </w:r>
      <w:r w:rsidR="000C2601" w:rsidRPr="002514A8">
        <w:rPr>
          <w:rFonts w:eastAsia="Arial" w:cs="Arial"/>
        </w:rPr>
        <w:t>irá</w:t>
      </w:r>
      <w:r w:rsidR="00764287" w:rsidRPr="002514A8">
        <w:rPr>
          <w:rFonts w:eastAsia="Arial" w:cs="Arial"/>
        </w:rPr>
        <w:t xml:space="preserve"> em </w:t>
      </w:r>
      <w:r w:rsidR="000C2601" w:rsidRPr="002514A8">
        <w:rPr>
          <w:rFonts w:eastAsia="Arial" w:cs="Arial"/>
        </w:rPr>
        <w:t xml:space="preserve">análise sobre </w:t>
      </w:r>
      <w:r w:rsidR="00764287" w:rsidRPr="002514A8">
        <w:rPr>
          <w:rFonts w:eastAsia="Arial" w:cs="Arial"/>
        </w:rPr>
        <w:t xml:space="preserve">os aspectos orçamentários, contábeis, financeiros e patrimoniais do Município, nos termos do </w:t>
      </w:r>
      <w:r w:rsidR="00F80964" w:rsidRPr="002514A8">
        <w:rPr>
          <w:rFonts w:eastAsia="Arial" w:cs="Arial"/>
          <w:i/>
          <w:iCs/>
        </w:rPr>
        <w:t>caput</w:t>
      </w:r>
      <w:r w:rsidR="00764287" w:rsidRPr="002514A8">
        <w:rPr>
          <w:rFonts w:eastAsia="Arial" w:cs="Arial"/>
        </w:rPr>
        <w:t xml:space="preserve"> do art. 217-A do Regimento Interno.</w:t>
      </w:r>
      <w:bookmarkEnd w:id="113"/>
    </w:p>
    <w:p w14:paraId="26C588EB" w14:textId="77777777" w:rsidR="00764287" w:rsidRPr="002514A8" w:rsidRDefault="0076428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Parágrafo único. A análise </w:t>
      </w:r>
      <w:r w:rsidR="0023484A" w:rsidRPr="002514A8">
        <w:rPr>
          <w:rFonts w:eastAsia="Arial" w:cs="Arial"/>
        </w:rPr>
        <w:t>prevista n</w:t>
      </w:r>
      <w:r w:rsidRPr="002514A8">
        <w:rPr>
          <w:rFonts w:eastAsia="Arial" w:cs="Arial"/>
        </w:rPr>
        <w:t>este artigo não vincula</w:t>
      </w:r>
      <w:r w:rsidR="0023484A" w:rsidRPr="002514A8">
        <w:rPr>
          <w:rFonts w:eastAsia="Arial" w:cs="Arial"/>
        </w:rPr>
        <w:t xml:space="preserve">rá </w:t>
      </w:r>
      <w:r w:rsidRPr="002514A8">
        <w:rPr>
          <w:rFonts w:eastAsia="Arial" w:cs="Arial"/>
        </w:rPr>
        <w:t>exames futuros sobre a matéria e não implica</w:t>
      </w:r>
      <w:r w:rsidR="0023484A" w:rsidRPr="002514A8">
        <w:rPr>
          <w:rFonts w:eastAsia="Arial" w:cs="Arial"/>
        </w:rPr>
        <w:t>rá</w:t>
      </w:r>
      <w:r w:rsidRPr="002514A8">
        <w:rPr>
          <w:rFonts w:eastAsia="Arial" w:cs="Arial"/>
        </w:rPr>
        <w:t xml:space="preserve"> convalidação ou saneamento de fatos ou apontamentos não abrangidos pelo escopo</w:t>
      </w:r>
      <w:r w:rsidR="0023484A" w:rsidRPr="002514A8">
        <w:rPr>
          <w:rFonts w:eastAsia="Arial" w:cs="Arial"/>
        </w:rPr>
        <w:t xml:space="preserve"> </w:t>
      </w:r>
      <w:r w:rsidR="00F613D5" w:rsidRPr="002514A8">
        <w:rPr>
          <w:rFonts w:eastAsia="Arial" w:cs="Arial"/>
        </w:rPr>
        <w:t>de análise</w:t>
      </w:r>
      <w:r w:rsidRPr="002514A8">
        <w:rPr>
          <w:rFonts w:eastAsia="Arial" w:cs="Arial"/>
        </w:rPr>
        <w:t>.</w:t>
      </w:r>
    </w:p>
    <w:p w14:paraId="03225746" w14:textId="77777777" w:rsidR="00764287" w:rsidRPr="002514A8" w:rsidRDefault="00A42C3E" w:rsidP="00C2083B">
      <w:pPr>
        <w:spacing w:after="0"/>
        <w:rPr>
          <w:rFonts w:eastAsia="Arial" w:cs="Arial"/>
        </w:rPr>
      </w:pPr>
      <w:bookmarkStart w:id="114" w:name="_Ref98158913"/>
      <w:r w:rsidRPr="002514A8">
        <w:rPr>
          <w:rFonts w:eastAsia="Arial" w:cs="Arial"/>
          <w:b/>
          <w:bCs/>
        </w:rPr>
        <w:t xml:space="preserve">Art. 23. </w:t>
      </w:r>
      <w:r w:rsidR="006F6C71" w:rsidRPr="002514A8">
        <w:rPr>
          <w:rFonts w:eastAsia="Arial" w:cs="Arial"/>
        </w:rPr>
        <w:t>Para os fins desta Instrução Normativa</w:t>
      </w:r>
      <w:r w:rsidR="00764287" w:rsidRPr="002514A8">
        <w:rPr>
          <w:rFonts w:eastAsia="Arial" w:cs="Arial"/>
        </w:rPr>
        <w:t>, considera-se:</w:t>
      </w:r>
      <w:bookmarkEnd w:id="114"/>
    </w:p>
    <w:p w14:paraId="577AB8DF" w14:textId="77777777" w:rsidR="00764287" w:rsidRPr="002514A8" w:rsidRDefault="0076428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 - </w:t>
      </w:r>
      <w:r w:rsidR="00971CD3" w:rsidRPr="002514A8">
        <w:rPr>
          <w:rFonts w:eastAsia="Arial" w:cs="Arial"/>
        </w:rPr>
        <w:t>e</w:t>
      </w:r>
      <w:r w:rsidRPr="002514A8">
        <w:rPr>
          <w:rFonts w:eastAsia="Arial" w:cs="Arial"/>
        </w:rPr>
        <w:t xml:space="preserve">scopo de análise: </w:t>
      </w:r>
      <w:r w:rsidR="00EA0D41" w:rsidRPr="002514A8">
        <w:rPr>
          <w:rFonts w:eastAsia="Arial" w:cs="Arial"/>
        </w:rPr>
        <w:t>conjunto do</w:t>
      </w:r>
      <w:r w:rsidR="00971CD3" w:rsidRPr="002514A8">
        <w:rPr>
          <w:rFonts w:eastAsia="Arial" w:cs="Arial"/>
        </w:rPr>
        <w:t>s grupos ou itens de análise</w:t>
      </w:r>
      <w:r w:rsidR="0028772D" w:rsidRPr="002514A8">
        <w:rPr>
          <w:rFonts w:eastAsia="Arial" w:cs="Arial"/>
        </w:rPr>
        <w:t>,</w:t>
      </w:r>
      <w:r w:rsidR="00971CD3" w:rsidRPr="002514A8">
        <w:rPr>
          <w:rFonts w:eastAsia="Arial" w:cs="Arial"/>
        </w:rPr>
        <w:t xml:space="preserve"> </w:t>
      </w:r>
      <w:r w:rsidR="0028772D" w:rsidRPr="002514A8">
        <w:rPr>
          <w:rFonts w:eastAsia="Arial" w:cs="Arial"/>
        </w:rPr>
        <w:t>que</w:t>
      </w:r>
      <w:r w:rsidR="00F613D5" w:rsidRPr="002514A8">
        <w:rPr>
          <w:rFonts w:eastAsia="Arial" w:cs="Arial"/>
        </w:rPr>
        <w:t xml:space="preserve"> corresponde</w:t>
      </w:r>
      <w:r w:rsidR="00971CD3" w:rsidRPr="002514A8">
        <w:rPr>
          <w:rFonts w:eastAsia="Arial" w:cs="Arial"/>
        </w:rPr>
        <w:t xml:space="preserve"> à </w:t>
      </w:r>
      <w:r w:rsidR="00F613D5" w:rsidRPr="002514A8">
        <w:rPr>
          <w:rFonts w:eastAsia="Arial" w:cs="Arial"/>
        </w:rPr>
        <w:t>abrangência</w:t>
      </w:r>
      <w:r w:rsidR="006F6C71" w:rsidRPr="002514A8">
        <w:rPr>
          <w:rFonts w:eastAsia="Arial" w:cs="Arial"/>
        </w:rPr>
        <w:t xml:space="preserve"> integral</w:t>
      </w:r>
      <w:r w:rsidR="00F613D5" w:rsidRPr="002514A8">
        <w:rPr>
          <w:rFonts w:eastAsia="Arial" w:cs="Arial"/>
        </w:rPr>
        <w:t xml:space="preserve"> da avaliação da execução orçamentária e financeira nas c</w:t>
      </w:r>
      <w:r w:rsidR="00971CD3" w:rsidRPr="002514A8">
        <w:rPr>
          <w:rFonts w:eastAsia="Arial" w:cs="Arial"/>
        </w:rPr>
        <w:t>ontas anuais;</w:t>
      </w:r>
    </w:p>
    <w:p w14:paraId="1A1335CF" w14:textId="77777777" w:rsidR="00764287" w:rsidRPr="002514A8" w:rsidRDefault="0076428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II - </w:t>
      </w:r>
      <w:r w:rsidR="00971CD3" w:rsidRPr="002514A8">
        <w:rPr>
          <w:rFonts w:eastAsia="Arial" w:cs="Arial"/>
        </w:rPr>
        <w:t>g</w:t>
      </w:r>
      <w:r w:rsidRPr="002514A8">
        <w:rPr>
          <w:rFonts w:eastAsia="Arial" w:cs="Arial"/>
        </w:rPr>
        <w:t xml:space="preserve">rupo de análise: </w:t>
      </w:r>
      <w:r w:rsidR="00971CD3" w:rsidRPr="002514A8">
        <w:rPr>
          <w:rFonts w:eastAsia="Arial" w:cs="Arial"/>
        </w:rPr>
        <w:t>agrupamento de itens de análise que possuem em comum um tema da avaliação;</w:t>
      </w:r>
    </w:p>
    <w:p w14:paraId="6E03F4CD" w14:textId="77777777" w:rsidR="00764287" w:rsidRPr="002514A8" w:rsidRDefault="0076428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III - </w:t>
      </w:r>
      <w:r w:rsidR="00971CD3" w:rsidRPr="002514A8">
        <w:rPr>
          <w:rFonts w:eastAsia="Arial" w:cs="Arial"/>
        </w:rPr>
        <w:t>i</w:t>
      </w:r>
      <w:r w:rsidRPr="002514A8">
        <w:rPr>
          <w:rFonts w:eastAsia="Arial" w:cs="Arial"/>
        </w:rPr>
        <w:t>tem de análise: matéria específica objeto de avaliação.</w:t>
      </w:r>
    </w:p>
    <w:p w14:paraId="17047608" w14:textId="00F5C85E" w:rsidR="00D75771" w:rsidRPr="002514A8" w:rsidRDefault="00D75771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>Art. 24.</w:t>
      </w:r>
      <w:r>
        <w:rPr>
          <w:rFonts w:eastAsia="Arial" w:cs="Arial"/>
          <w:b/>
          <w:bCs/>
        </w:rPr>
        <w:t xml:space="preserve"> </w:t>
      </w:r>
      <w:r>
        <w:t>O escopo de análise do opinativo previsto nesta seção será composto pelos itens de análise dispostos no anexo I desta</w:t>
      </w:r>
      <w:r>
        <w:rPr>
          <w:spacing w:val="40"/>
        </w:rPr>
        <w:t xml:space="preserve"> </w:t>
      </w:r>
      <w:r>
        <w:t xml:space="preserve">Instrução Normativa. </w:t>
      </w:r>
      <w:hyperlink r:id="rId19" w:history="1">
        <w:r w:rsidRPr="00AC046C">
          <w:rPr>
            <w:rStyle w:val="Hyperlink"/>
            <w:rFonts w:cs="Arial"/>
          </w:rPr>
          <w:t>(</w:t>
        </w:r>
        <w:r>
          <w:rPr>
            <w:rStyle w:val="Hyperlink"/>
            <w:rFonts w:cs="Arial"/>
          </w:rPr>
          <w:t>Redação dada</w:t>
        </w:r>
        <w:r w:rsidRPr="00AC046C">
          <w:rPr>
            <w:rStyle w:val="Hyperlink"/>
            <w:rFonts w:cs="Arial"/>
          </w:rPr>
          <w:t xml:space="preserve"> pela </w:t>
        </w:r>
        <w:r w:rsidRPr="00AC046C">
          <w:rPr>
            <w:rStyle w:val="Hyperlink"/>
          </w:rPr>
          <w:t xml:space="preserve">Instrução Normativa n. </w:t>
        </w:r>
        <w:r w:rsidR="001026B8">
          <w:rPr>
            <w:rStyle w:val="Hyperlink"/>
          </w:rPr>
          <w:t>185/2024</w:t>
        </w:r>
        <w:r w:rsidRPr="00AC046C">
          <w:rPr>
            <w:rStyle w:val="Hyperlink"/>
            <w:rFonts w:cs="Arial"/>
          </w:rPr>
          <w:t>)</w:t>
        </w:r>
      </w:hyperlink>
    </w:p>
    <w:p w14:paraId="4F7A6BE3" w14:textId="77777777" w:rsidR="00764287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25. </w:t>
      </w:r>
      <w:r w:rsidR="00764287" w:rsidRPr="002514A8">
        <w:rPr>
          <w:rFonts w:eastAsia="Arial" w:cs="Arial"/>
        </w:rPr>
        <w:t>Considerando exclusivamente as constatações obtidas n</w:t>
      </w:r>
      <w:r w:rsidR="006A3339" w:rsidRPr="002514A8">
        <w:rPr>
          <w:rFonts w:eastAsia="Arial" w:cs="Arial"/>
        </w:rPr>
        <w:t xml:space="preserve">a análise </w:t>
      </w:r>
      <w:r w:rsidR="00764287" w:rsidRPr="002514A8">
        <w:rPr>
          <w:rFonts w:eastAsia="Arial" w:cs="Arial"/>
        </w:rPr>
        <w:t xml:space="preserve">de que trata </w:t>
      </w:r>
      <w:r w:rsidR="00DD2092" w:rsidRPr="002514A8">
        <w:rPr>
          <w:rFonts w:eastAsia="Arial" w:cs="Arial"/>
        </w:rPr>
        <w:t xml:space="preserve">esta </w:t>
      </w:r>
      <w:r w:rsidR="00C02657" w:rsidRPr="002514A8">
        <w:rPr>
          <w:rFonts w:eastAsia="Arial" w:cs="Arial"/>
        </w:rPr>
        <w:t>s</w:t>
      </w:r>
      <w:r w:rsidR="00DD2092" w:rsidRPr="002514A8">
        <w:rPr>
          <w:rFonts w:eastAsia="Arial" w:cs="Arial"/>
        </w:rPr>
        <w:t>eção</w:t>
      </w:r>
      <w:r w:rsidR="00764287" w:rsidRPr="002514A8">
        <w:rPr>
          <w:rFonts w:eastAsia="Arial" w:cs="Arial"/>
        </w:rPr>
        <w:t xml:space="preserve">, </w:t>
      </w:r>
      <w:r w:rsidR="00DD2092" w:rsidRPr="002514A8">
        <w:rPr>
          <w:rFonts w:eastAsia="Arial" w:cs="Arial"/>
        </w:rPr>
        <w:t xml:space="preserve">a </w:t>
      </w:r>
      <w:r w:rsidR="00C03AAB" w:rsidRPr="002514A8">
        <w:rPr>
          <w:rFonts w:eastAsia="Arial" w:cs="Arial"/>
        </w:rPr>
        <w:t>unidade técnica</w:t>
      </w:r>
      <w:r w:rsidR="00DD2092" w:rsidRPr="002514A8">
        <w:rPr>
          <w:rFonts w:eastAsia="Arial" w:cs="Arial"/>
        </w:rPr>
        <w:t xml:space="preserve"> emitirá </w:t>
      </w:r>
      <w:r w:rsidR="00DE7F20" w:rsidRPr="002514A8">
        <w:rPr>
          <w:rFonts w:eastAsia="Arial" w:cs="Arial"/>
        </w:rPr>
        <w:t>opinativo</w:t>
      </w:r>
      <w:r w:rsidR="00DD2092" w:rsidRPr="002514A8">
        <w:rPr>
          <w:rFonts w:eastAsia="Arial" w:cs="Arial"/>
        </w:rPr>
        <w:t xml:space="preserve"> que consignará</w:t>
      </w:r>
      <w:r w:rsidR="00764287" w:rsidRPr="002514A8">
        <w:rPr>
          <w:rFonts w:eastAsia="Arial" w:cs="Arial"/>
        </w:rPr>
        <w:t xml:space="preserve"> alguma das seguintes </w:t>
      </w:r>
      <w:r w:rsidR="00DD2092" w:rsidRPr="002514A8">
        <w:rPr>
          <w:rFonts w:eastAsia="Arial" w:cs="Arial"/>
        </w:rPr>
        <w:t>indicações sobre a execução orçamentária e financeira dos recursos públicos municipais</w:t>
      </w:r>
      <w:r w:rsidR="00764287" w:rsidRPr="002514A8">
        <w:rPr>
          <w:rFonts w:eastAsia="Arial" w:cs="Arial"/>
        </w:rPr>
        <w:t>:</w:t>
      </w:r>
    </w:p>
    <w:p w14:paraId="2689C6AC" w14:textId="77777777" w:rsidR="00764287" w:rsidRPr="002514A8" w:rsidRDefault="0076428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I - regulares;</w:t>
      </w:r>
    </w:p>
    <w:p w14:paraId="0E977AD8" w14:textId="77777777" w:rsidR="00BE1579" w:rsidRPr="002514A8" w:rsidRDefault="00BE1579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II - regulares com ressalvas;</w:t>
      </w:r>
    </w:p>
    <w:p w14:paraId="64507972" w14:textId="77777777" w:rsidR="009E6EE7" w:rsidRPr="002514A8" w:rsidRDefault="0076428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II</w:t>
      </w:r>
      <w:r w:rsidR="00BE1579" w:rsidRPr="002514A8">
        <w:rPr>
          <w:rFonts w:eastAsia="Arial" w:cs="Arial"/>
        </w:rPr>
        <w:t>I</w:t>
      </w:r>
      <w:r w:rsidRPr="002514A8">
        <w:rPr>
          <w:rFonts w:eastAsia="Arial" w:cs="Arial"/>
        </w:rPr>
        <w:t xml:space="preserve"> </w:t>
      </w:r>
      <w:r w:rsidR="00453290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irregulares</w:t>
      </w:r>
      <w:r w:rsidR="00F5486B" w:rsidRPr="002514A8">
        <w:rPr>
          <w:rFonts w:eastAsia="Arial" w:cs="Arial"/>
        </w:rPr>
        <w:t>;</w:t>
      </w:r>
    </w:p>
    <w:p w14:paraId="7E500777" w14:textId="77777777" w:rsidR="00F5486B" w:rsidRPr="002514A8" w:rsidRDefault="009E6EE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I</w:t>
      </w:r>
      <w:r w:rsidR="00BE1579" w:rsidRPr="002514A8">
        <w:rPr>
          <w:rFonts w:eastAsia="Arial" w:cs="Arial"/>
        </w:rPr>
        <w:t>V</w:t>
      </w:r>
      <w:r w:rsidRPr="002514A8">
        <w:rPr>
          <w:rFonts w:eastAsia="Arial" w:cs="Arial"/>
        </w:rPr>
        <w:t xml:space="preserve"> </w:t>
      </w:r>
      <w:r w:rsidR="00825258" w:rsidRPr="002514A8">
        <w:rPr>
          <w:rFonts w:eastAsia="Arial" w:cs="Arial"/>
        </w:rPr>
        <w:t>-</w:t>
      </w:r>
      <w:r w:rsidRPr="002514A8">
        <w:rPr>
          <w:rFonts w:eastAsia="Arial" w:cs="Arial"/>
        </w:rPr>
        <w:t xml:space="preserve"> </w:t>
      </w:r>
      <w:r w:rsidR="00453290" w:rsidRPr="002514A8">
        <w:rPr>
          <w:rFonts w:eastAsia="Arial" w:cs="Arial"/>
        </w:rPr>
        <w:t>a</w:t>
      </w:r>
      <w:r w:rsidRPr="002514A8">
        <w:rPr>
          <w:rFonts w:eastAsia="Arial" w:cs="Arial"/>
        </w:rPr>
        <w:t>bstenção</w:t>
      </w:r>
      <w:r w:rsidR="00E1489A" w:rsidRPr="002514A8">
        <w:rPr>
          <w:rFonts w:eastAsia="Arial" w:cs="Arial"/>
        </w:rPr>
        <w:t xml:space="preserve"> de opin</w:t>
      </w:r>
      <w:r w:rsidR="009304BB" w:rsidRPr="002514A8">
        <w:rPr>
          <w:rFonts w:eastAsia="Arial" w:cs="Arial"/>
        </w:rPr>
        <w:t>i</w:t>
      </w:r>
      <w:r w:rsidR="003261D4" w:rsidRPr="002514A8">
        <w:rPr>
          <w:rFonts w:eastAsia="Arial" w:cs="Arial"/>
        </w:rPr>
        <w:t>ão</w:t>
      </w:r>
      <w:r w:rsidR="00F5486B" w:rsidRPr="002514A8">
        <w:rPr>
          <w:rFonts w:eastAsia="Arial" w:cs="Arial"/>
        </w:rPr>
        <w:t>.</w:t>
      </w:r>
    </w:p>
    <w:p w14:paraId="27449623" w14:textId="592A31E3" w:rsidR="00D75771" w:rsidRPr="002514A8" w:rsidRDefault="00D75771" w:rsidP="00D75771">
      <w:pPr>
        <w:spacing w:after="0"/>
        <w:rPr>
          <w:rFonts w:eastAsia="Arial" w:cs="Arial"/>
        </w:rPr>
      </w:pPr>
      <w:r>
        <w:t>§ 1º Apontada a inobservância de quaisquer dos itens de análise</w:t>
      </w:r>
      <w:r>
        <w:rPr>
          <w:spacing w:val="40"/>
        </w:rPr>
        <w:t xml:space="preserve"> </w:t>
      </w:r>
      <w:r>
        <w:t xml:space="preserve">que compõem o escopo estabelecido no anexo I desta Instrução Normativa, o opinativo de que trata este artigo será pela irregularidade. </w:t>
      </w:r>
      <w:hyperlink r:id="rId20" w:history="1">
        <w:r w:rsidRPr="00AC046C">
          <w:rPr>
            <w:rStyle w:val="Hyperlink"/>
            <w:rFonts w:cs="Arial"/>
          </w:rPr>
          <w:t>(</w:t>
        </w:r>
        <w:r>
          <w:rPr>
            <w:rStyle w:val="Hyperlink"/>
            <w:rFonts w:cs="Arial"/>
          </w:rPr>
          <w:t>Redação dada</w:t>
        </w:r>
        <w:r w:rsidRPr="00AC046C">
          <w:rPr>
            <w:rStyle w:val="Hyperlink"/>
            <w:rFonts w:cs="Arial"/>
          </w:rPr>
          <w:t xml:space="preserve"> pela </w:t>
        </w:r>
        <w:r w:rsidRPr="00AC046C">
          <w:rPr>
            <w:rStyle w:val="Hyperlink"/>
          </w:rPr>
          <w:t xml:space="preserve">Instrução Normativa n. </w:t>
        </w:r>
        <w:r w:rsidR="001026B8">
          <w:rPr>
            <w:rStyle w:val="Hyperlink"/>
          </w:rPr>
          <w:t>185/2024</w:t>
        </w:r>
        <w:r w:rsidRPr="00AC046C">
          <w:rPr>
            <w:rStyle w:val="Hyperlink"/>
            <w:rFonts w:cs="Arial"/>
          </w:rPr>
          <w:t>)</w:t>
        </w:r>
      </w:hyperlink>
    </w:p>
    <w:p w14:paraId="04D82986" w14:textId="77777777" w:rsidR="00A949A5" w:rsidRPr="002514A8" w:rsidRDefault="009A3EE6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>§</w:t>
      </w:r>
      <w:r w:rsidR="00825258" w:rsidRPr="002514A8">
        <w:rPr>
          <w:rFonts w:eastAsia="Arial" w:cs="Arial"/>
        </w:rPr>
        <w:t xml:space="preserve"> </w:t>
      </w:r>
      <w:r w:rsidR="003E7C83" w:rsidRPr="002514A8">
        <w:rPr>
          <w:rFonts w:eastAsia="Arial" w:cs="Arial"/>
        </w:rPr>
        <w:t>2</w:t>
      </w:r>
      <w:r w:rsidRPr="002514A8">
        <w:rPr>
          <w:rFonts w:eastAsia="Arial" w:cs="Arial"/>
        </w:rPr>
        <w:t>º</w:t>
      </w:r>
      <w:r w:rsidR="00764287" w:rsidRPr="002514A8">
        <w:rPr>
          <w:rFonts w:eastAsia="Arial" w:cs="Arial"/>
        </w:rPr>
        <w:t xml:space="preserve"> </w:t>
      </w:r>
      <w:r w:rsidR="00AF4A64" w:rsidRPr="002514A8">
        <w:rPr>
          <w:rFonts w:eastAsia="Arial" w:cs="Arial"/>
        </w:rPr>
        <w:t xml:space="preserve">Caso não haja a </w:t>
      </w:r>
      <w:r w:rsidR="00237224" w:rsidRPr="002514A8">
        <w:rPr>
          <w:rFonts w:eastAsia="Arial" w:cs="Arial"/>
        </w:rPr>
        <w:t xml:space="preserve">indicação de irregularidade nos termos do § </w:t>
      </w:r>
      <w:r w:rsidR="00705890" w:rsidRPr="002514A8">
        <w:rPr>
          <w:rFonts w:eastAsia="Arial" w:cs="Arial"/>
        </w:rPr>
        <w:t>1</w:t>
      </w:r>
      <w:r w:rsidR="00237224" w:rsidRPr="002514A8">
        <w:rPr>
          <w:rFonts w:eastAsia="Arial" w:cs="Arial"/>
        </w:rPr>
        <w:t xml:space="preserve">º </w:t>
      </w:r>
      <w:r w:rsidR="00673708" w:rsidRPr="002514A8">
        <w:rPr>
          <w:rFonts w:eastAsia="Arial" w:cs="Arial"/>
        </w:rPr>
        <w:t xml:space="preserve">deste artigo </w:t>
      </w:r>
      <w:r w:rsidR="00237224" w:rsidRPr="002514A8">
        <w:rPr>
          <w:rFonts w:eastAsia="Arial" w:cs="Arial"/>
        </w:rPr>
        <w:t>e v</w:t>
      </w:r>
      <w:r w:rsidR="003053F8" w:rsidRPr="002514A8">
        <w:rPr>
          <w:rFonts w:eastAsia="Arial" w:cs="Arial"/>
        </w:rPr>
        <w:t xml:space="preserve">erificada a </w:t>
      </w:r>
      <w:r w:rsidR="00DD2092" w:rsidRPr="002514A8">
        <w:rPr>
          <w:rFonts w:eastAsia="Arial" w:cs="Arial"/>
        </w:rPr>
        <w:t>ocorrência da situação</w:t>
      </w:r>
      <w:r w:rsidR="003053F8" w:rsidRPr="002514A8">
        <w:rPr>
          <w:rFonts w:eastAsia="Arial" w:cs="Arial"/>
        </w:rPr>
        <w:t xml:space="preserve"> prevista no</w:t>
      </w:r>
      <w:r w:rsidR="00212780" w:rsidRPr="002514A8">
        <w:rPr>
          <w:rFonts w:eastAsia="Arial" w:cs="Arial"/>
        </w:rPr>
        <w:t xml:space="preserve"> </w:t>
      </w:r>
      <w:r w:rsidR="00DD2092" w:rsidRPr="002514A8">
        <w:rPr>
          <w:rFonts w:eastAsia="Arial" w:cs="Arial"/>
        </w:rPr>
        <w:t>§ 1º</w:t>
      </w:r>
      <w:r w:rsidR="00212780" w:rsidRPr="002514A8">
        <w:rPr>
          <w:rFonts w:eastAsia="Arial" w:cs="Arial"/>
        </w:rPr>
        <w:t xml:space="preserve"> do</w:t>
      </w:r>
      <w:r w:rsidR="008E5ED9" w:rsidRPr="002514A8">
        <w:rPr>
          <w:rFonts w:eastAsia="Arial" w:cs="Arial"/>
        </w:rPr>
        <w:t xml:space="preserve"> art. 18</w:t>
      </w:r>
      <w:r w:rsidR="00114533" w:rsidRPr="002514A8">
        <w:rPr>
          <w:rFonts w:eastAsia="Arial" w:cs="Arial"/>
        </w:rPr>
        <w:t xml:space="preserve">, </w:t>
      </w:r>
      <w:r w:rsidR="009D3516" w:rsidRPr="002514A8">
        <w:rPr>
          <w:rFonts w:eastAsia="Arial" w:cs="Arial"/>
        </w:rPr>
        <w:t>o opinativo</w:t>
      </w:r>
      <w:r w:rsidR="00DD2092" w:rsidRPr="002514A8">
        <w:rPr>
          <w:rFonts w:eastAsia="Arial" w:cs="Arial"/>
        </w:rPr>
        <w:t xml:space="preserve"> d</w:t>
      </w:r>
      <w:r w:rsidR="00764287" w:rsidRPr="002514A8">
        <w:rPr>
          <w:rFonts w:eastAsia="Arial" w:cs="Arial"/>
        </w:rPr>
        <w:t xml:space="preserve">a </w:t>
      </w:r>
      <w:r w:rsidR="00C03AAB" w:rsidRPr="002514A8">
        <w:rPr>
          <w:rFonts w:eastAsia="Arial" w:cs="Arial"/>
        </w:rPr>
        <w:t>unidade técnica</w:t>
      </w:r>
      <w:r w:rsidR="00764287" w:rsidRPr="002514A8">
        <w:rPr>
          <w:rFonts w:eastAsia="Arial" w:cs="Arial"/>
        </w:rPr>
        <w:t xml:space="preserve"> será </w:t>
      </w:r>
      <w:r w:rsidR="00DB789D" w:rsidRPr="002514A8">
        <w:rPr>
          <w:rFonts w:eastAsia="Arial" w:cs="Arial"/>
        </w:rPr>
        <w:t xml:space="preserve">pela </w:t>
      </w:r>
      <w:r w:rsidR="00825258" w:rsidRPr="002514A8">
        <w:rPr>
          <w:rFonts w:eastAsia="Arial" w:cs="Arial"/>
        </w:rPr>
        <w:t>a</w:t>
      </w:r>
      <w:r w:rsidR="00453290" w:rsidRPr="002514A8">
        <w:rPr>
          <w:rFonts w:eastAsia="Arial" w:cs="Arial"/>
        </w:rPr>
        <w:t>bstenção</w:t>
      </w:r>
      <w:r w:rsidR="00E1489A" w:rsidRPr="002514A8">
        <w:rPr>
          <w:rFonts w:eastAsia="Arial" w:cs="Arial"/>
        </w:rPr>
        <w:t xml:space="preserve"> de </w:t>
      </w:r>
      <w:r w:rsidR="00825258" w:rsidRPr="002514A8">
        <w:rPr>
          <w:rFonts w:eastAsia="Arial" w:cs="Arial"/>
        </w:rPr>
        <w:t>o</w:t>
      </w:r>
      <w:r w:rsidR="00E1489A" w:rsidRPr="002514A8">
        <w:rPr>
          <w:rFonts w:eastAsia="Arial" w:cs="Arial"/>
        </w:rPr>
        <w:t>pin</w:t>
      </w:r>
      <w:r w:rsidR="003261D4" w:rsidRPr="002514A8">
        <w:rPr>
          <w:rFonts w:eastAsia="Arial" w:cs="Arial"/>
        </w:rPr>
        <w:t>ião</w:t>
      </w:r>
      <w:r w:rsidR="00764287" w:rsidRPr="002514A8">
        <w:rPr>
          <w:rFonts w:eastAsia="Arial" w:cs="Arial"/>
        </w:rPr>
        <w:t>.</w:t>
      </w:r>
    </w:p>
    <w:p w14:paraId="73BDB82B" w14:textId="77777777" w:rsidR="003F3FDD" w:rsidRPr="002514A8" w:rsidRDefault="000A3F6E" w:rsidP="00CE423B">
      <w:pPr>
        <w:pStyle w:val="Ttulo1"/>
        <w:spacing w:after="0"/>
        <w:rPr>
          <w:rFonts w:eastAsia="Arial" w:cs="Arial"/>
        </w:rPr>
      </w:pPr>
      <w:bookmarkStart w:id="115" w:name="_Toc103326127"/>
      <w:bookmarkStart w:id="116" w:name="_Toc104385391"/>
      <w:bookmarkStart w:id="117" w:name="_Toc108448562"/>
      <w:r w:rsidRPr="002514A8">
        <w:rPr>
          <w:rFonts w:eastAsia="Arial" w:cs="Arial"/>
        </w:rPr>
        <w:lastRenderedPageBreak/>
        <w:t>CAPÍTULO</w:t>
      </w:r>
      <w:r w:rsidR="006A3318" w:rsidRPr="002514A8">
        <w:rPr>
          <w:rFonts w:eastAsia="Arial" w:cs="Arial"/>
        </w:rPr>
        <w:t xml:space="preserve"> </w:t>
      </w:r>
      <w:r w:rsidRPr="002514A8">
        <w:rPr>
          <w:rFonts w:eastAsia="Arial" w:cs="Arial"/>
        </w:rPr>
        <w:t>V</w:t>
      </w:r>
      <w:bookmarkEnd w:id="115"/>
      <w:bookmarkEnd w:id="116"/>
      <w:bookmarkEnd w:id="117"/>
    </w:p>
    <w:p w14:paraId="504F3631" w14:textId="77A0FABA" w:rsidR="006A3318" w:rsidRDefault="00AC046C" w:rsidP="00AC046C">
      <w:pPr>
        <w:pStyle w:val="Ttulo1"/>
        <w:spacing w:before="0" w:after="0"/>
        <w:rPr>
          <w:rFonts w:eastAsia="Arial" w:cs="Arial"/>
        </w:rPr>
      </w:pPr>
      <w:r w:rsidRPr="00AC046C">
        <w:rPr>
          <w:bCs w:val="0"/>
        </w:rPr>
        <w:t>DA</w:t>
      </w:r>
      <w:r w:rsidRPr="00AC046C">
        <w:rPr>
          <w:bCs w:val="0"/>
          <w:spacing w:val="-20"/>
        </w:rPr>
        <w:t xml:space="preserve"> </w:t>
      </w:r>
      <w:r w:rsidRPr="00AC046C">
        <w:rPr>
          <w:bCs w:val="0"/>
        </w:rPr>
        <w:t>ANÁLISE</w:t>
      </w:r>
      <w:r w:rsidRPr="00AC046C">
        <w:rPr>
          <w:bCs w:val="0"/>
          <w:spacing w:val="-13"/>
        </w:rPr>
        <w:t xml:space="preserve"> </w:t>
      </w:r>
      <w:r w:rsidRPr="00AC046C">
        <w:rPr>
          <w:bCs w:val="0"/>
        </w:rPr>
        <w:t>INICIAL</w:t>
      </w:r>
      <w:r w:rsidRPr="00AC046C">
        <w:rPr>
          <w:bCs w:val="0"/>
          <w:spacing w:val="-9"/>
        </w:rPr>
        <w:t xml:space="preserve"> </w:t>
      </w:r>
      <w:r w:rsidRPr="00AC046C">
        <w:rPr>
          <w:bCs w:val="0"/>
        </w:rPr>
        <w:t>DO</w:t>
      </w:r>
      <w:r w:rsidRPr="00AC046C">
        <w:rPr>
          <w:bCs w:val="0"/>
          <w:spacing w:val="-7"/>
        </w:rPr>
        <w:t xml:space="preserve"> </w:t>
      </w:r>
      <w:r w:rsidRPr="00AC046C">
        <w:rPr>
          <w:bCs w:val="0"/>
        </w:rPr>
        <w:t>RELATOR</w:t>
      </w:r>
    </w:p>
    <w:p w14:paraId="754AF1F3" w14:textId="281E5879" w:rsidR="00AC046C" w:rsidRPr="00AC046C" w:rsidRDefault="00AC046C" w:rsidP="00AC046C">
      <w:pPr>
        <w:spacing w:before="0" w:after="240"/>
      </w:pPr>
      <w:hyperlink r:id="rId21" w:history="1">
        <w:r w:rsidRPr="00AC046C">
          <w:rPr>
            <w:rStyle w:val="Hyperlink"/>
            <w:rFonts w:cs="Arial"/>
          </w:rPr>
          <w:t>(</w:t>
        </w:r>
        <w:r>
          <w:rPr>
            <w:rStyle w:val="Hyperlink"/>
            <w:rFonts w:cs="Arial"/>
          </w:rPr>
          <w:t>Redação dada</w:t>
        </w:r>
        <w:r w:rsidRPr="00AC046C">
          <w:rPr>
            <w:rStyle w:val="Hyperlink"/>
            <w:rFonts w:cs="Arial"/>
          </w:rPr>
          <w:t xml:space="preserve"> pela </w:t>
        </w:r>
        <w:r w:rsidRPr="00AC046C">
          <w:rPr>
            <w:rStyle w:val="Hyperlink"/>
          </w:rPr>
          <w:t xml:space="preserve">Instrução Normativa n. </w:t>
        </w:r>
        <w:r w:rsidR="001026B8">
          <w:rPr>
            <w:rStyle w:val="Hyperlink"/>
          </w:rPr>
          <w:t>185/2024</w:t>
        </w:r>
        <w:r w:rsidRPr="00AC046C">
          <w:rPr>
            <w:rStyle w:val="Hyperlink"/>
            <w:rFonts w:cs="Arial"/>
          </w:rPr>
          <w:t>)</w:t>
        </w:r>
      </w:hyperlink>
    </w:p>
    <w:p w14:paraId="09DED749" w14:textId="77777777" w:rsidR="006E23F2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26. </w:t>
      </w:r>
      <w:r w:rsidR="006E23F2" w:rsidRPr="002514A8">
        <w:rPr>
          <w:rFonts w:eastAsia="Arial" w:cs="Arial"/>
        </w:rPr>
        <w:t xml:space="preserve">Após </w:t>
      </w:r>
      <w:r w:rsidR="00D30843" w:rsidRPr="002514A8">
        <w:rPr>
          <w:rFonts w:eastAsia="Arial" w:cs="Arial"/>
        </w:rPr>
        <w:t xml:space="preserve">a emissão </w:t>
      </w:r>
      <w:r w:rsidR="005C7D7F" w:rsidRPr="002514A8">
        <w:rPr>
          <w:rFonts w:eastAsia="Arial" w:cs="Arial"/>
        </w:rPr>
        <w:t>da instrução d</w:t>
      </w:r>
      <w:r w:rsidR="006E23F2" w:rsidRPr="002514A8">
        <w:rPr>
          <w:rFonts w:eastAsia="Arial" w:cs="Arial"/>
        </w:rPr>
        <w:t xml:space="preserve">a </w:t>
      </w:r>
      <w:r w:rsidR="00C03AAB" w:rsidRPr="002514A8">
        <w:rPr>
          <w:rFonts w:eastAsia="Arial" w:cs="Arial"/>
        </w:rPr>
        <w:t>unidade técnica</w:t>
      </w:r>
      <w:r w:rsidR="006E23F2" w:rsidRPr="002514A8">
        <w:rPr>
          <w:rFonts w:eastAsia="Arial" w:cs="Arial"/>
        </w:rPr>
        <w:t xml:space="preserve">, os autos serão encaminhados para análise do Relator e apreciação da necessidade de concessão de contraditório ao </w:t>
      </w:r>
      <w:r w:rsidR="00A86FA5" w:rsidRPr="002514A8">
        <w:rPr>
          <w:rFonts w:eastAsia="Arial" w:cs="Arial"/>
        </w:rPr>
        <w:t>Prefeito</w:t>
      </w:r>
      <w:r w:rsidR="006E23F2" w:rsidRPr="002514A8">
        <w:rPr>
          <w:rFonts w:eastAsia="Arial" w:cs="Arial"/>
        </w:rPr>
        <w:t xml:space="preserve"> Municipal.</w:t>
      </w:r>
    </w:p>
    <w:p w14:paraId="44F5CB0F" w14:textId="77777777" w:rsidR="00DD07F0" w:rsidRDefault="00DD07F0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1º O Relator poderá decidir se o grau de atendimento de implementação das políticas públicas previsto no § 1º do </w:t>
      </w:r>
      <w:r w:rsidR="008E5ED9" w:rsidRPr="002514A8">
        <w:rPr>
          <w:rFonts w:eastAsia="Arial" w:cs="Arial"/>
        </w:rPr>
        <w:t xml:space="preserve">art. 21 </w:t>
      </w:r>
      <w:r w:rsidRPr="002514A8">
        <w:rPr>
          <w:rFonts w:eastAsia="Arial" w:cs="Arial"/>
        </w:rPr>
        <w:t>em uma ou mais áreas avaliadas poderá conduzir à emissão de parecer pela irregularidade ou pela regularidade com ressalva das contas.</w:t>
      </w:r>
    </w:p>
    <w:p w14:paraId="522DBBF5" w14:textId="1CE43182" w:rsidR="00D75771" w:rsidRPr="002514A8" w:rsidRDefault="00D75771" w:rsidP="00C2083B">
      <w:pPr>
        <w:spacing w:after="0"/>
        <w:rPr>
          <w:rFonts w:eastAsia="Arial" w:cs="Arial"/>
        </w:rPr>
      </w:pPr>
      <w:r>
        <w:t xml:space="preserve">§ 1º-A O Relator poderá utilizar os vetores estabelecidos no Anexo II desta Instrução Normativa, que possuem natureza meramente referencial, para subsidiar a análise objeto do parágrafo anterior. </w:t>
      </w:r>
      <w:hyperlink r:id="rId22" w:history="1">
        <w:r w:rsidRPr="00AC046C">
          <w:rPr>
            <w:rStyle w:val="Hyperlink"/>
            <w:rFonts w:cs="Arial"/>
          </w:rPr>
          <w:t>(</w:t>
        </w:r>
        <w:r>
          <w:rPr>
            <w:rStyle w:val="Hyperlink"/>
            <w:rFonts w:cs="Arial"/>
          </w:rPr>
          <w:t xml:space="preserve">Incluído </w:t>
        </w:r>
        <w:r w:rsidRPr="00AC046C">
          <w:rPr>
            <w:rStyle w:val="Hyperlink"/>
            <w:rFonts w:cs="Arial"/>
          </w:rPr>
          <w:t xml:space="preserve">pela </w:t>
        </w:r>
        <w:r w:rsidRPr="00AC046C">
          <w:rPr>
            <w:rStyle w:val="Hyperlink"/>
          </w:rPr>
          <w:t xml:space="preserve">Instrução Normativa n. </w:t>
        </w:r>
        <w:r w:rsidR="001026B8">
          <w:rPr>
            <w:rStyle w:val="Hyperlink"/>
          </w:rPr>
          <w:t>185/2024</w:t>
        </w:r>
        <w:r w:rsidRPr="00AC046C">
          <w:rPr>
            <w:rStyle w:val="Hyperlink"/>
            <w:rFonts w:cs="Arial"/>
          </w:rPr>
          <w:t>)</w:t>
        </w:r>
      </w:hyperlink>
    </w:p>
    <w:p w14:paraId="247BD97D" w14:textId="77777777" w:rsidR="00A86FA5" w:rsidRPr="002514A8" w:rsidRDefault="00D5014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DD07F0" w:rsidRPr="002514A8">
        <w:rPr>
          <w:rFonts w:eastAsia="Arial" w:cs="Arial"/>
        </w:rPr>
        <w:t>2</w:t>
      </w:r>
      <w:r w:rsidRPr="002514A8">
        <w:rPr>
          <w:rFonts w:eastAsia="Arial" w:cs="Arial"/>
        </w:rPr>
        <w:t xml:space="preserve">º </w:t>
      </w:r>
      <w:r w:rsidR="00A86FA5" w:rsidRPr="002514A8">
        <w:rPr>
          <w:rFonts w:eastAsia="Arial" w:cs="Arial"/>
        </w:rPr>
        <w:t xml:space="preserve">Constatadas pelo Relator </w:t>
      </w:r>
      <w:r w:rsidR="00D65ADA" w:rsidRPr="002514A8">
        <w:rPr>
          <w:rFonts w:eastAsia="Arial" w:cs="Arial"/>
        </w:rPr>
        <w:t>inconsistências</w:t>
      </w:r>
      <w:r w:rsidR="00A86FA5" w:rsidRPr="002514A8">
        <w:rPr>
          <w:rFonts w:eastAsia="Arial" w:cs="Arial"/>
        </w:rPr>
        <w:t xml:space="preserve"> que possam ensejar a emissão de Parecer Prévio que </w:t>
      </w:r>
      <w:r w:rsidR="0066260E" w:rsidRPr="002514A8">
        <w:rPr>
          <w:rFonts w:eastAsia="Arial" w:cs="Arial"/>
        </w:rPr>
        <w:t>indique</w:t>
      </w:r>
      <w:r w:rsidR="00C72B01" w:rsidRPr="002514A8">
        <w:rPr>
          <w:rFonts w:eastAsia="Arial" w:cs="Arial"/>
        </w:rPr>
        <w:t xml:space="preserve"> </w:t>
      </w:r>
      <w:r w:rsidR="009C755A" w:rsidRPr="002514A8">
        <w:rPr>
          <w:rFonts w:eastAsia="Arial" w:cs="Arial"/>
        </w:rPr>
        <w:t xml:space="preserve">a </w:t>
      </w:r>
      <w:r w:rsidR="00A86FA5" w:rsidRPr="002514A8">
        <w:rPr>
          <w:rFonts w:eastAsia="Arial" w:cs="Arial"/>
        </w:rPr>
        <w:t>irregularidade</w:t>
      </w:r>
      <w:r w:rsidR="00D65ADA" w:rsidRPr="002514A8">
        <w:rPr>
          <w:rFonts w:eastAsia="Arial" w:cs="Arial"/>
        </w:rPr>
        <w:t xml:space="preserve"> ou a regularidade com ressalva</w:t>
      </w:r>
      <w:r w:rsidR="00A86FA5" w:rsidRPr="002514A8">
        <w:rPr>
          <w:rFonts w:eastAsia="Arial" w:cs="Arial"/>
        </w:rPr>
        <w:t xml:space="preserve"> das contas, </w:t>
      </w:r>
      <w:r w:rsidR="008A04FE" w:rsidRPr="002514A8">
        <w:rPr>
          <w:rFonts w:eastAsia="Arial" w:cs="Arial"/>
        </w:rPr>
        <w:t>será</w:t>
      </w:r>
      <w:r w:rsidR="00A86FA5" w:rsidRPr="002514A8">
        <w:rPr>
          <w:rFonts w:eastAsia="Arial" w:cs="Arial"/>
        </w:rPr>
        <w:t xml:space="preserve"> concedida ao </w:t>
      </w:r>
      <w:r w:rsidR="007E2043" w:rsidRPr="002514A8">
        <w:rPr>
          <w:rFonts w:eastAsia="Arial" w:cs="Arial"/>
        </w:rPr>
        <w:t>Prefeito Municipal</w:t>
      </w:r>
      <w:r w:rsidR="00A86FA5" w:rsidRPr="002514A8">
        <w:rPr>
          <w:rFonts w:eastAsia="Arial" w:cs="Arial"/>
        </w:rPr>
        <w:t xml:space="preserve"> a oportunidade d</w:t>
      </w:r>
      <w:r w:rsidR="001357AA" w:rsidRPr="002514A8">
        <w:rPr>
          <w:rFonts w:eastAsia="Arial" w:cs="Arial"/>
        </w:rPr>
        <w:t>e</w:t>
      </w:r>
      <w:r w:rsidR="00A86FA5" w:rsidRPr="002514A8">
        <w:rPr>
          <w:rFonts w:eastAsia="Arial" w:cs="Arial"/>
        </w:rPr>
        <w:t xml:space="preserve"> contraditório e ampla defesa,</w:t>
      </w:r>
      <w:r w:rsidR="00C72B01" w:rsidRPr="002514A8">
        <w:rPr>
          <w:rFonts w:eastAsia="Arial" w:cs="Arial"/>
        </w:rPr>
        <w:t xml:space="preserve"> nos termos do art. 351 do Regimento Interno.</w:t>
      </w:r>
    </w:p>
    <w:p w14:paraId="3E535E7C" w14:textId="77777777" w:rsidR="00A81223" w:rsidRPr="002514A8" w:rsidRDefault="00D50147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F53EA4" w:rsidRPr="002514A8">
        <w:rPr>
          <w:rFonts w:eastAsia="Arial" w:cs="Arial"/>
        </w:rPr>
        <w:t>3</w:t>
      </w:r>
      <w:r w:rsidR="009C755A" w:rsidRPr="002514A8">
        <w:rPr>
          <w:rFonts w:eastAsia="Arial" w:cs="Arial"/>
        </w:rPr>
        <w:t>º</w:t>
      </w:r>
      <w:r w:rsidR="00146B28" w:rsidRPr="002514A8">
        <w:rPr>
          <w:rFonts w:eastAsia="Arial" w:cs="Arial"/>
        </w:rPr>
        <w:t xml:space="preserve"> </w:t>
      </w:r>
      <w:r w:rsidR="0009415D" w:rsidRPr="002514A8">
        <w:rPr>
          <w:rFonts w:eastAsia="Arial" w:cs="Arial"/>
        </w:rPr>
        <w:t>E</w:t>
      </w:r>
      <w:r w:rsidR="004A4D76" w:rsidRPr="002514A8">
        <w:rPr>
          <w:rFonts w:eastAsia="Arial" w:cs="Arial"/>
        </w:rPr>
        <w:t>m sede de contraditório,</w:t>
      </w:r>
      <w:r w:rsidR="00C72B01" w:rsidRPr="002514A8">
        <w:rPr>
          <w:rFonts w:eastAsia="Arial" w:cs="Arial"/>
        </w:rPr>
        <w:t xml:space="preserve"> </w:t>
      </w:r>
      <w:r w:rsidR="009678B9" w:rsidRPr="002514A8">
        <w:rPr>
          <w:rFonts w:eastAsia="Arial" w:cs="Arial"/>
        </w:rPr>
        <w:t xml:space="preserve">a </w:t>
      </w:r>
      <w:r w:rsidR="00C03AAB" w:rsidRPr="002514A8">
        <w:rPr>
          <w:rFonts w:eastAsia="Arial" w:cs="Arial"/>
        </w:rPr>
        <w:t>unidade técnica</w:t>
      </w:r>
      <w:r w:rsidR="005124E6" w:rsidRPr="002514A8">
        <w:rPr>
          <w:rFonts w:eastAsia="Arial" w:cs="Arial"/>
        </w:rPr>
        <w:t xml:space="preserve"> </w:t>
      </w:r>
      <w:r w:rsidR="00A81223" w:rsidRPr="002514A8">
        <w:rPr>
          <w:rFonts w:eastAsia="Arial" w:cs="Arial"/>
        </w:rPr>
        <w:t>se pronunciará</w:t>
      </w:r>
      <w:r w:rsidR="002140E8" w:rsidRPr="002514A8">
        <w:rPr>
          <w:rFonts w:eastAsia="Arial" w:cs="Arial"/>
        </w:rPr>
        <w:t xml:space="preserve"> </w:t>
      </w:r>
      <w:r w:rsidR="000A7D5C" w:rsidRPr="002514A8">
        <w:rPr>
          <w:rFonts w:eastAsia="Arial" w:cs="Arial"/>
        </w:rPr>
        <w:t>exclusivamente</w:t>
      </w:r>
      <w:r w:rsidR="002140E8" w:rsidRPr="002514A8">
        <w:rPr>
          <w:rFonts w:eastAsia="Arial" w:cs="Arial"/>
        </w:rPr>
        <w:t xml:space="preserve"> </w:t>
      </w:r>
      <w:r w:rsidR="000A7D5C" w:rsidRPr="002514A8">
        <w:rPr>
          <w:rFonts w:eastAsia="Arial" w:cs="Arial"/>
        </w:rPr>
        <w:t>sobre as</w:t>
      </w:r>
      <w:r w:rsidR="002140E8" w:rsidRPr="002514A8">
        <w:rPr>
          <w:rFonts w:eastAsia="Arial" w:cs="Arial"/>
        </w:rPr>
        <w:t xml:space="preserve"> </w:t>
      </w:r>
      <w:r w:rsidR="00F40267" w:rsidRPr="002514A8">
        <w:rPr>
          <w:rFonts w:eastAsia="Arial" w:cs="Arial"/>
        </w:rPr>
        <w:t xml:space="preserve">ressalvas ou </w:t>
      </w:r>
      <w:r w:rsidR="002140E8" w:rsidRPr="002514A8">
        <w:rPr>
          <w:rFonts w:eastAsia="Arial" w:cs="Arial"/>
        </w:rPr>
        <w:t xml:space="preserve">irregularidades </w:t>
      </w:r>
      <w:r w:rsidR="00A81223" w:rsidRPr="002514A8">
        <w:rPr>
          <w:rFonts w:eastAsia="Arial" w:cs="Arial"/>
        </w:rPr>
        <w:t>apontadas</w:t>
      </w:r>
      <w:r w:rsidR="002140E8" w:rsidRPr="002514A8">
        <w:rPr>
          <w:rFonts w:eastAsia="Arial" w:cs="Arial"/>
        </w:rPr>
        <w:t xml:space="preserve"> no </w:t>
      </w:r>
      <w:r w:rsidR="00793A22" w:rsidRPr="002514A8">
        <w:rPr>
          <w:rFonts w:eastAsia="Arial" w:cs="Arial"/>
        </w:rPr>
        <w:t>opinativo</w:t>
      </w:r>
      <w:r w:rsidR="002140E8" w:rsidRPr="002514A8">
        <w:rPr>
          <w:rFonts w:eastAsia="Arial" w:cs="Arial"/>
        </w:rPr>
        <w:t xml:space="preserve"> </w:t>
      </w:r>
      <w:r w:rsidR="00BA1B8D" w:rsidRPr="002514A8">
        <w:rPr>
          <w:rFonts w:eastAsia="Arial" w:cs="Arial"/>
        </w:rPr>
        <w:t xml:space="preserve">sobre a avaliação da execução orçamentária e financeira </w:t>
      </w:r>
      <w:r w:rsidR="00E429F8" w:rsidRPr="002514A8">
        <w:rPr>
          <w:rFonts w:eastAsia="Arial" w:cs="Arial"/>
        </w:rPr>
        <w:t>previsto n</w:t>
      </w:r>
      <w:r w:rsidR="002140E8" w:rsidRPr="002514A8">
        <w:rPr>
          <w:rFonts w:eastAsia="Arial" w:cs="Arial"/>
        </w:rPr>
        <w:t>o</w:t>
      </w:r>
      <w:r w:rsidR="0076559F" w:rsidRPr="002514A8">
        <w:rPr>
          <w:rFonts w:eastAsia="Arial" w:cs="Arial"/>
        </w:rPr>
        <w:t xml:space="preserve"> inciso III do</w:t>
      </w:r>
      <w:r w:rsidR="008E5ED9" w:rsidRPr="002514A8">
        <w:rPr>
          <w:rFonts w:eastAsia="Arial" w:cs="Arial"/>
        </w:rPr>
        <w:t xml:space="preserve"> art. 18</w:t>
      </w:r>
      <w:r w:rsidR="002E4BB1" w:rsidRPr="002514A8">
        <w:rPr>
          <w:rFonts w:eastAsia="Arial" w:cs="Arial"/>
        </w:rPr>
        <w:t>.</w:t>
      </w:r>
    </w:p>
    <w:p w14:paraId="1F5C9F3A" w14:textId="77777777" w:rsidR="009B7B04" w:rsidRPr="002514A8" w:rsidRDefault="00A81223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§ </w:t>
      </w:r>
      <w:r w:rsidR="00F53EA4" w:rsidRPr="002514A8">
        <w:rPr>
          <w:rFonts w:eastAsia="Arial" w:cs="Arial"/>
        </w:rPr>
        <w:t>4</w:t>
      </w:r>
      <w:r w:rsidRPr="002514A8">
        <w:rPr>
          <w:rFonts w:eastAsia="Arial" w:cs="Arial"/>
        </w:rPr>
        <w:t>º A</w:t>
      </w:r>
      <w:r w:rsidR="00AB4A2D" w:rsidRPr="002514A8">
        <w:rPr>
          <w:rFonts w:eastAsia="Arial" w:cs="Arial"/>
        </w:rPr>
        <w:t>pós a</w:t>
      </w:r>
      <w:r w:rsidRPr="002514A8">
        <w:rPr>
          <w:rFonts w:eastAsia="Arial" w:cs="Arial"/>
        </w:rPr>
        <w:t xml:space="preserve"> manifestação referida no </w:t>
      </w:r>
      <w:r w:rsidR="00C71C96" w:rsidRPr="002514A8">
        <w:rPr>
          <w:rFonts w:eastAsia="Arial" w:cs="Arial"/>
        </w:rPr>
        <w:t xml:space="preserve">§ </w:t>
      </w:r>
      <w:r w:rsidR="00FC7B92" w:rsidRPr="002514A8">
        <w:rPr>
          <w:rFonts w:eastAsia="Arial" w:cs="Arial"/>
        </w:rPr>
        <w:t>3</w:t>
      </w:r>
      <w:r w:rsidRPr="002514A8">
        <w:rPr>
          <w:rFonts w:eastAsia="Arial" w:cs="Arial"/>
        </w:rPr>
        <w:t>º deste artigo</w:t>
      </w:r>
      <w:r w:rsidR="00BA1B8D" w:rsidRPr="002514A8">
        <w:rPr>
          <w:rFonts w:eastAsia="Arial" w:cs="Arial"/>
        </w:rPr>
        <w:t xml:space="preserve"> </w:t>
      </w:r>
      <w:r w:rsidR="00AB4A2D" w:rsidRPr="002514A8">
        <w:rPr>
          <w:rFonts w:eastAsia="Arial" w:cs="Arial"/>
        </w:rPr>
        <w:t xml:space="preserve">os autos </w:t>
      </w:r>
      <w:r w:rsidR="005E0BFE" w:rsidRPr="002514A8">
        <w:rPr>
          <w:rFonts w:eastAsia="Arial" w:cs="Arial"/>
        </w:rPr>
        <w:t xml:space="preserve">serão encaminhados </w:t>
      </w:r>
      <w:r w:rsidR="00683571" w:rsidRPr="002514A8">
        <w:rPr>
          <w:rFonts w:eastAsia="Arial" w:cs="Arial"/>
        </w:rPr>
        <w:t>ao Relator.</w:t>
      </w:r>
    </w:p>
    <w:p w14:paraId="3F55484A" w14:textId="77777777" w:rsidR="003F3FDD" w:rsidRPr="002514A8" w:rsidRDefault="005D1EDD" w:rsidP="00CE423B">
      <w:pPr>
        <w:pStyle w:val="Ttulo1"/>
        <w:spacing w:after="0"/>
        <w:rPr>
          <w:rFonts w:eastAsia="Arial" w:cs="Arial"/>
        </w:rPr>
      </w:pPr>
      <w:bookmarkStart w:id="118" w:name="_Toc103326129"/>
      <w:bookmarkStart w:id="119" w:name="_Toc104385393"/>
      <w:bookmarkStart w:id="120" w:name="_Toc108448564"/>
      <w:r w:rsidRPr="002514A8">
        <w:rPr>
          <w:rFonts w:eastAsia="Arial" w:cs="Arial"/>
        </w:rPr>
        <w:t>CAPÍTULO V</w:t>
      </w:r>
      <w:r w:rsidR="000A3F6E" w:rsidRPr="002514A8">
        <w:rPr>
          <w:rFonts w:eastAsia="Arial" w:cs="Arial"/>
        </w:rPr>
        <w:t>I</w:t>
      </w:r>
      <w:bookmarkEnd w:id="118"/>
      <w:bookmarkEnd w:id="119"/>
      <w:bookmarkEnd w:id="120"/>
    </w:p>
    <w:p w14:paraId="45C31F04" w14:textId="77777777" w:rsidR="005D1EDD" w:rsidRPr="002514A8" w:rsidRDefault="005D1EDD" w:rsidP="00BE44CA">
      <w:pPr>
        <w:pStyle w:val="Ttulo1"/>
        <w:spacing w:before="0" w:after="240"/>
        <w:rPr>
          <w:rFonts w:eastAsia="Arial" w:cs="Arial"/>
        </w:rPr>
      </w:pPr>
      <w:bookmarkStart w:id="121" w:name="_Toc103326130"/>
      <w:bookmarkStart w:id="122" w:name="_Toc104385394"/>
      <w:bookmarkStart w:id="123" w:name="_Toc108448565"/>
      <w:r w:rsidRPr="002514A8">
        <w:rPr>
          <w:rFonts w:eastAsia="Arial" w:cs="Arial"/>
        </w:rPr>
        <w:t>DA MANIFESTAÇÃO DO MINISTÉRIO PÚBLICO DE CONTAS</w:t>
      </w:r>
      <w:bookmarkEnd w:id="121"/>
      <w:bookmarkEnd w:id="122"/>
      <w:bookmarkEnd w:id="123"/>
    </w:p>
    <w:p w14:paraId="6989B803" w14:textId="77777777" w:rsidR="006E23F2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27. </w:t>
      </w:r>
      <w:r w:rsidR="00B70CE3" w:rsidRPr="002514A8">
        <w:rPr>
          <w:rFonts w:eastAsia="Arial" w:cs="Arial"/>
        </w:rPr>
        <w:t xml:space="preserve">Encerrada </w:t>
      </w:r>
      <w:r w:rsidR="006E23F2" w:rsidRPr="002514A8">
        <w:rPr>
          <w:rFonts w:eastAsia="Arial" w:cs="Arial"/>
        </w:rPr>
        <w:t xml:space="preserve">a </w:t>
      </w:r>
      <w:r w:rsidR="00564567" w:rsidRPr="002514A8">
        <w:rPr>
          <w:rFonts w:eastAsia="Arial" w:cs="Arial"/>
        </w:rPr>
        <w:t xml:space="preserve">fase de </w:t>
      </w:r>
      <w:r w:rsidR="006E23F2" w:rsidRPr="002514A8">
        <w:rPr>
          <w:rFonts w:eastAsia="Arial" w:cs="Arial"/>
        </w:rPr>
        <w:t xml:space="preserve">instrução </w:t>
      </w:r>
      <w:r w:rsidR="00564567" w:rsidRPr="002514A8">
        <w:rPr>
          <w:rFonts w:eastAsia="Arial" w:cs="Arial"/>
        </w:rPr>
        <w:t>processual</w:t>
      </w:r>
      <w:r w:rsidR="006E23F2" w:rsidRPr="002514A8">
        <w:rPr>
          <w:rFonts w:eastAsia="Arial" w:cs="Arial"/>
        </w:rPr>
        <w:t xml:space="preserve">, os autos serão encaminhados </w:t>
      </w:r>
      <w:r w:rsidR="003D7658" w:rsidRPr="002514A8">
        <w:rPr>
          <w:rFonts w:eastAsia="Arial" w:cs="Arial"/>
        </w:rPr>
        <w:t>pelo Relator</w:t>
      </w:r>
      <w:r w:rsidR="00A81223" w:rsidRPr="002514A8">
        <w:rPr>
          <w:rFonts w:eastAsia="Arial" w:cs="Arial"/>
        </w:rPr>
        <w:t xml:space="preserve"> </w:t>
      </w:r>
      <w:r w:rsidR="003D7658" w:rsidRPr="002514A8">
        <w:rPr>
          <w:rFonts w:eastAsia="Arial" w:cs="Arial"/>
        </w:rPr>
        <w:t>ao Ministério Público de Contas</w:t>
      </w:r>
      <w:r w:rsidR="00B321C8" w:rsidRPr="002514A8">
        <w:rPr>
          <w:rFonts w:eastAsia="Arial" w:cs="Arial"/>
        </w:rPr>
        <w:t xml:space="preserve"> </w:t>
      </w:r>
      <w:r w:rsidR="006E23F2" w:rsidRPr="002514A8">
        <w:rPr>
          <w:rFonts w:eastAsia="Arial" w:cs="Arial"/>
        </w:rPr>
        <w:t>para manifestação.</w:t>
      </w:r>
    </w:p>
    <w:p w14:paraId="636549F1" w14:textId="77777777" w:rsidR="003F3FDD" w:rsidRPr="002514A8" w:rsidRDefault="000A3F6E" w:rsidP="00CE423B">
      <w:pPr>
        <w:pStyle w:val="Ttulo1"/>
        <w:spacing w:after="0"/>
        <w:rPr>
          <w:rFonts w:eastAsia="Arial" w:cs="Arial"/>
        </w:rPr>
      </w:pPr>
      <w:bookmarkStart w:id="124" w:name="_Ref98164096"/>
      <w:bookmarkStart w:id="125" w:name="_Ref98408532"/>
      <w:bookmarkStart w:id="126" w:name="_Toc103326131"/>
      <w:bookmarkStart w:id="127" w:name="_Toc104385395"/>
      <w:bookmarkStart w:id="128" w:name="_Toc108448566"/>
      <w:r w:rsidRPr="002514A8">
        <w:rPr>
          <w:rFonts w:eastAsia="Arial" w:cs="Arial"/>
        </w:rPr>
        <w:t>CAPÍTULO</w:t>
      </w:r>
      <w:r w:rsidR="00BE11D8" w:rsidRPr="002514A8">
        <w:rPr>
          <w:rFonts w:eastAsia="Arial" w:cs="Arial"/>
        </w:rPr>
        <w:t xml:space="preserve"> VII</w:t>
      </w:r>
      <w:bookmarkEnd w:id="124"/>
      <w:bookmarkEnd w:id="125"/>
      <w:bookmarkEnd w:id="126"/>
      <w:bookmarkEnd w:id="127"/>
      <w:bookmarkEnd w:id="128"/>
    </w:p>
    <w:p w14:paraId="3FD2903F" w14:textId="77777777" w:rsidR="008854F2" w:rsidRPr="002514A8" w:rsidRDefault="000A3F6E" w:rsidP="00BE44CA">
      <w:pPr>
        <w:pStyle w:val="Ttulo1"/>
        <w:spacing w:before="0" w:after="240"/>
        <w:rPr>
          <w:rFonts w:eastAsia="Arial" w:cs="Arial"/>
        </w:rPr>
      </w:pPr>
      <w:bookmarkStart w:id="129" w:name="_Toc103326132"/>
      <w:bookmarkStart w:id="130" w:name="_Toc104385396"/>
      <w:bookmarkStart w:id="131" w:name="_Toc108448567"/>
      <w:r w:rsidRPr="002514A8">
        <w:rPr>
          <w:rFonts w:eastAsia="Arial" w:cs="Arial"/>
        </w:rPr>
        <w:t>DO</w:t>
      </w:r>
      <w:r w:rsidR="008854F2" w:rsidRPr="002514A8">
        <w:rPr>
          <w:rFonts w:eastAsia="Arial" w:cs="Arial"/>
        </w:rPr>
        <w:t xml:space="preserve"> PARECER PRÉVIO</w:t>
      </w:r>
      <w:bookmarkEnd w:id="129"/>
      <w:bookmarkEnd w:id="130"/>
      <w:bookmarkEnd w:id="131"/>
    </w:p>
    <w:p w14:paraId="0BF497BB" w14:textId="77777777" w:rsidR="006E23F2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28. </w:t>
      </w:r>
      <w:r w:rsidR="007A4D22" w:rsidRPr="002514A8">
        <w:rPr>
          <w:rFonts w:eastAsia="Arial" w:cs="Arial"/>
        </w:rPr>
        <w:t>Encerradas as fases de instrução e manifestação ministerial,</w:t>
      </w:r>
      <w:r w:rsidR="006E23F2" w:rsidRPr="002514A8">
        <w:rPr>
          <w:rFonts w:eastAsia="Arial" w:cs="Arial"/>
        </w:rPr>
        <w:t xml:space="preserve"> o Relator formulará proposta de </w:t>
      </w:r>
      <w:r w:rsidR="00054840" w:rsidRPr="002514A8">
        <w:rPr>
          <w:rFonts w:eastAsia="Arial" w:cs="Arial"/>
        </w:rPr>
        <w:t>P</w:t>
      </w:r>
      <w:r w:rsidR="006E23F2" w:rsidRPr="002514A8">
        <w:rPr>
          <w:rFonts w:eastAsia="Arial" w:cs="Arial"/>
        </w:rPr>
        <w:t xml:space="preserve">arecer </w:t>
      </w:r>
      <w:r w:rsidR="00054840" w:rsidRPr="002514A8">
        <w:rPr>
          <w:rFonts w:eastAsia="Arial" w:cs="Arial"/>
        </w:rPr>
        <w:t>P</w:t>
      </w:r>
      <w:r w:rsidR="006E23F2" w:rsidRPr="002514A8">
        <w:rPr>
          <w:rFonts w:eastAsia="Arial" w:cs="Arial"/>
        </w:rPr>
        <w:t>révio</w:t>
      </w:r>
      <w:r w:rsidR="004C500C" w:rsidRPr="002514A8">
        <w:rPr>
          <w:rFonts w:eastAsia="Arial" w:cs="Arial"/>
        </w:rPr>
        <w:t>, que</w:t>
      </w:r>
      <w:r w:rsidR="006E23F2" w:rsidRPr="002514A8">
        <w:rPr>
          <w:rFonts w:eastAsia="Arial" w:cs="Arial"/>
        </w:rPr>
        <w:t xml:space="preserve"> conterá indicação pela regularidade, regularidade com ressalvas ou irregularidade das contas prestadas pelo Prefeito Municipal, nos termos do art. 16 da Lei Complementar Estadual nº 113</w:t>
      </w:r>
      <w:r w:rsidR="006D3CFE" w:rsidRPr="002514A8">
        <w:rPr>
          <w:rFonts w:eastAsia="Arial" w:cs="Arial"/>
        </w:rPr>
        <w:t xml:space="preserve">, de </w:t>
      </w:r>
      <w:r w:rsidR="006E23F2" w:rsidRPr="002514A8">
        <w:rPr>
          <w:rFonts w:eastAsia="Arial" w:cs="Arial"/>
        </w:rPr>
        <w:t>2005.</w:t>
      </w:r>
    </w:p>
    <w:p w14:paraId="416DA86A" w14:textId="77777777" w:rsidR="00736684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29. </w:t>
      </w:r>
      <w:r w:rsidR="00736684" w:rsidRPr="002514A8">
        <w:rPr>
          <w:rFonts w:eastAsia="Arial" w:cs="Arial"/>
        </w:rPr>
        <w:t xml:space="preserve">A deliberação da Câmara do Tribunal </w:t>
      </w:r>
      <w:r w:rsidR="002D7D22" w:rsidRPr="002514A8">
        <w:rPr>
          <w:rFonts w:eastAsia="Arial" w:cs="Arial"/>
        </w:rPr>
        <w:t xml:space="preserve">de Contas </w:t>
      </w:r>
      <w:r w:rsidR="00736684" w:rsidRPr="002514A8">
        <w:rPr>
          <w:rFonts w:eastAsia="Arial" w:cs="Arial"/>
        </w:rPr>
        <w:t xml:space="preserve">no processo de </w:t>
      </w:r>
      <w:r w:rsidR="002F2D65" w:rsidRPr="002514A8">
        <w:rPr>
          <w:rFonts w:eastAsia="Arial" w:cs="Arial"/>
        </w:rPr>
        <w:t>P</w:t>
      </w:r>
      <w:r w:rsidR="00BF180E" w:rsidRPr="002514A8">
        <w:rPr>
          <w:rFonts w:eastAsia="Arial" w:cs="Arial"/>
        </w:rPr>
        <w:t xml:space="preserve">restação </w:t>
      </w:r>
      <w:r w:rsidR="00736684" w:rsidRPr="002514A8">
        <w:rPr>
          <w:rFonts w:eastAsia="Arial" w:cs="Arial"/>
        </w:rPr>
        <w:t>d</w:t>
      </w:r>
      <w:r w:rsidR="00BF180E" w:rsidRPr="002514A8">
        <w:rPr>
          <w:rFonts w:eastAsia="Arial" w:cs="Arial"/>
        </w:rPr>
        <w:t>e</w:t>
      </w:r>
      <w:r w:rsidR="00736684" w:rsidRPr="002514A8">
        <w:rPr>
          <w:rFonts w:eastAsia="Arial" w:cs="Arial"/>
        </w:rPr>
        <w:t xml:space="preserve"> </w:t>
      </w:r>
      <w:r w:rsidR="002F2D65" w:rsidRPr="002514A8">
        <w:rPr>
          <w:rFonts w:eastAsia="Arial" w:cs="Arial"/>
        </w:rPr>
        <w:t>C</w:t>
      </w:r>
      <w:r w:rsidR="00736684" w:rsidRPr="002514A8">
        <w:rPr>
          <w:rFonts w:eastAsia="Arial" w:cs="Arial"/>
        </w:rPr>
        <w:t>onta</w:t>
      </w:r>
      <w:r w:rsidR="002F2D65" w:rsidRPr="002514A8">
        <w:rPr>
          <w:rFonts w:eastAsia="Arial" w:cs="Arial"/>
        </w:rPr>
        <w:t>s</w:t>
      </w:r>
      <w:r w:rsidR="00736684" w:rsidRPr="002514A8">
        <w:rPr>
          <w:rFonts w:eastAsia="Arial" w:cs="Arial"/>
        </w:rPr>
        <w:t xml:space="preserve"> d</w:t>
      </w:r>
      <w:r w:rsidR="00BF180E" w:rsidRPr="002514A8">
        <w:rPr>
          <w:rFonts w:eastAsia="Arial" w:cs="Arial"/>
        </w:rPr>
        <w:t>e</w:t>
      </w:r>
      <w:r w:rsidR="00736684" w:rsidRPr="002514A8">
        <w:rPr>
          <w:rFonts w:eastAsia="Arial" w:cs="Arial"/>
        </w:rPr>
        <w:t xml:space="preserve"> Prefeito Municipa</w:t>
      </w:r>
      <w:r w:rsidR="00BF180E" w:rsidRPr="002514A8">
        <w:rPr>
          <w:rFonts w:eastAsia="Arial" w:cs="Arial"/>
        </w:rPr>
        <w:t>l</w:t>
      </w:r>
      <w:r w:rsidR="00736684" w:rsidRPr="002514A8">
        <w:rPr>
          <w:rFonts w:eastAsia="Arial" w:cs="Arial"/>
        </w:rPr>
        <w:t xml:space="preserve"> terá a forma de Parecer Prévio, conforme disposto no </w:t>
      </w:r>
      <w:r w:rsidR="007E122C" w:rsidRPr="002514A8">
        <w:rPr>
          <w:rFonts w:eastAsia="Arial" w:cs="Arial"/>
        </w:rPr>
        <w:t xml:space="preserve">art. 470 do </w:t>
      </w:r>
      <w:r w:rsidR="00736684" w:rsidRPr="002514A8">
        <w:rPr>
          <w:rFonts w:eastAsia="Arial" w:cs="Arial"/>
        </w:rPr>
        <w:t>Regimento Interno.</w:t>
      </w:r>
    </w:p>
    <w:p w14:paraId="26E2CF4A" w14:textId="77777777" w:rsidR="00E61425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30. </w:t>
      </w:r>
      <w:r w:rsidR="00E61425" w:rsidRPr="002514A8">
        <w:rPr>
          <w:rFonts w:eastAsia="Arial" w:cs="Arial"/>
        </w:rPr>
        <w:t>Contra a decisão contida em Parecer Prévio somente são cabíveis Embargos de Declaração, nos termos do art. 490 do Regimento Interno.</w:t>
      </w:r>
    </w:p>
    <w:p w14:paraId="6637091F" w14:textId="77777777" w:rsidR="003F3FDD" w:rsidRPr="002514A8" w:rsidRDefault="0066626B" w:rsidP="00CE423B">
      <w:pPr>
        <w:pStyle w:val="Ttulo1"/>
        <w:spacing w:after="0"/>
        <w:rPr>
          <w:rFonts w:eastAsia="Arial" w:cs="Arial"/>
        </w:rPr>
      </w:pPr>
      <w:bookmarkStart w:id="132" w:name="_Toc103326133"/>
      <w:bookmarkStart w:id="133" w:name="_Toc104385397"/>
      <w:bookmarkStart w:id="134" w:name="_Toc108448568"/>
      <w:r w:rsidRPr="002514A8">
        <w:rPr>
          <w:rFonts w:eastAsia="Arial" w:cs="Arial"/>
        </w:rPr>
        <w:lastRenderedPageBreak/>
        <w:t xml:space="preserve">CAPÍTULO </w:t>
      </w:r>
      <w:r w:rsidR="00CF2BDF" w:rsidRPr="002514A8">
        <w:rPr>
          <w:rFonts w:eastAsia="Arial" w:cs="Arial"/>
        </w:rPr>
        <w:t>VIII</w:t>
      </w:r>
      <w:bookmarkEnd w:id="132"/>
      <w:bookmarkEnd w:id="133"/>
      <w:bookmarkEnd w:id="134"/>
    </w:p>
    <w:p w14:paraId="6865CFCA" w14:textId="77777777" w:rsidR="0066626B" w:rsidRPr="002514A8" w:rsidRDefault="0066626B" w:rsidP="00BE44CA">
      <w:pPr>
        <w:pStyle w:val="Ttulo1"/>
        <w:spacing w:before="0" w:after="240"/>
        <w:rPr>
          <w:rFonts w:eastAsia="Arial" w:cs="Arial"/>
          <w:strike/>
        </w:rPr>
      </w:pPr>
      <w:bookmarkStart w:id="135" w:name="_Toc103326134"/>
      <w:bookmarkStart w:id="136" w:name="_Toc104385398"/>
      <w:bookmarkStart w:id="137" w:name="_Toc108448569"/>
      <w:r w:rsidRPr="002514A8">
        <w:rPr>
          <w:rFonts w:eastAsia="Arial" w:cs="Arial"/>
        </w:rPr>
        <w:t>DAS DISPOSIÇÕES FINAIS</w:t>
      </w:r>
      <w:bookmarkEnd w:id="135"/>
      <w:bookmarkEnd w:id="136"/>
      <w:bookmarkEnd w:id="137"/>
    </w:p>
    <w:p w14:paraId="24E156F2" w14:textId="77777777" w:rsidR="006A2F2E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31. </w:t>
      </w:r>
      <w:r w:rsidR="00931A78" w:rsidRPr="002514A8">
        <w:rPr>
          <w:rFonts w:eastAsia="Arial" w:cs="Arial"/>
        </w:rPr>
        <w:t>Excepcionalmente no que se refere à</w:t>
      </w:r>
      <w:r w:rsidR="001E09DD" w:rsidRPr="002514A8">
        <w:rPr>
          <w:rFonts w:eastAsia="Arial" w:cs="Arial"/>
        </w:rPr>
        <w:t>s</w:t>
      </w:r>
      <w:r w:rsidR="00931A78" w:rsidRPr="002514A8">
        <w:rPr>
          <w:rFonts w:eastAsia="Arial" w:cs="Arial"/>
        </w:rPr>
        <w:t xml:space="preserve"> </w:t>
      </w:r>
      <w:r w:rsidR="001E09DD" w:rsidRPr="002514A8">
        <w:rPr>
          <w:rFonts w:eastAsia="Arial" w:cs="Arial"/>
        </w:rPr>
        <w:t>p</w:t>
      </w:r>
      <w:r w:rsidR="00931A78" w:rsidRPr="002514A8">
        <w:rPr>
          <w:rFonts w:eastAsia="Arial" w:cs="Arial"/>
        </w:rPr>
        <w:t>restaç</w:t>
      </w:r>
      <w:r w:rsidR="001E09DD" w:rsidRPr="002514A8">
        <w:rPr>
          <w:rFonts w:eastAsia="Arial" w:cs="Arial"/>
        </w:rPr>
        <w:t>ões</w:t>
      </w:r>
      <w:r w:rsidR="00931A78" w:rsidRPr="002514A8">
        <w:rPr>
          <w:rFonts w:eastAsia="Arial" w:cs="Arial"/>
        </w:rPr>
        <w:t xml:space="preserve"> de </w:t>
      </w:r>
      <w:r w:rsidR="001E09DD" w:rsidRPr="002514A8">
        <w:rPr>
          <w:rFonts w:eastAsia="Arial" w:cs="Arial"/>
        </w:rPr>
        <w:t>c</w:t>
      </w:r>
      <w:r w:rsidR="00931A78" w:rsidRPr="002514A8">
        <w:rPr>
          <w:rFonts w:eastAsia="Arial" w:cs="Arial"/>
        </w:rPr>
        <w:t xml:space="preserve">ontas </w:t>
      </w:r>
      <w:r w:rsidR="003E6A87" w:rsidRPr="002514A8">
        <w:rPr>
          <w:rFonts w:eastAsia="Arial" w:cs="Arial"/>
        </w:rPr>
        <w:t>de Prefeitos Municipais referentes ao exercício financeiro</w:t>
      </w:r>
      <w:r w:rsidR="00931A78" w:rsidRPr="002514A8">
        <w:rPr>
          <w:rFonts w:eastAsia="Arial" w:cs="Arial"/>
        </w:rPr>
        <w:t xml:space="preserve"> de 2022, o</w:t>
      </w:r>
      <w:r w:rsidR="00170E81" w:rsidRPr="002514A8">
        <w:rPr>
          <w:rFonts w:eastAsia="Arial" w:cs="Arial"/>
        </w:rPr>
        <w:t xml:space="preserve">s </w:t>
      </w:r>
      <w:r w:rsidR="00931A78" w:rsidRPr="002514A8">
        <w:rPr>
          <w:rFonts w:eastAsia="Arial" w:cs="Arial"/>
        </w:rPr>
        <w:t>período</w:t>
      </w:r>
      <w:r w:rsidR="00170E81" w:rsidRPr="002514A8">
        <w:rPr>
          <w:rFonts w:eastAsia="Arial" w:cs="Arial"/>
        </w:rPr>
        <w:t>s</w:t>
      </w:r>
      <w:r w:rsidR="00931A78" w:rsidRPr="002514A8">
        <w:rPr>
          <w:rFonts w:eastAsia="Arial" w:cs="Arial"/>
        </w:rPr>
        <w:t xml:space="preserve"> de que trata</w:t>
      </w:r>
      <w:r w:rsidR="00170E81" w:rsidRPr="002514A8">
        <w:rPr>
          <w:rFonts w:eastAsia="Arial" w:cs="Arial"/>
        </w:rPr>
        <w:t>m</w:t>
      </w:r>
      <w:r w:rsidR="00931A78" w:rsidRPr="002514A8">
        <w:rPr>
          <w:rFonts w:eastAsia="Arial" w:cs="Arial"/>
        </w:rPr>
        <w:t xml:space="preserve"> o</w:t>
      </w:r>
      <w:r w:rsidR="008E5ED9" w:rsidRPr="002514A8">
        <w:rPr>
          <w:rFonts w:eastAsia="Arial" w:cs="Arial"/>
        </w:rPr>
        <w:t xml:space="preserve"> art. 7º</w:t>
      </w:r>
      <w:r w:rsidR="005773CD" w:rsidRPr="002514A8">
        <w:rPr>
          <w:rFonts w:eastAsia="Arial" w:cs="Arial"/>
        </w:rPr>
        <w:t>, § 3º,</w:t>
      </w:r>
      <w:r w:rsidR="00935D12" w:rsidRPr="002514A8">
        <w:rPr>
          <w:rFonts w:eastAsia="Arial" w:cs="Arial"/>
        </w:rPr>
        <w:t xml:space="preserve"> e</w:t>
      </w:r>
      <w:r w:rsidR="005773CD" w:rsidRPr="002514A8">
        <w:rPr>
          <w:rFonts w:eastAsia="Arial" w:cs="Arial"/>
        </w:rPr>
        <w:t xml:space="preserve"> o</w:t>
      </w:r>
      <w:r w:rsidR="008E5ED9" w:rsidRPr="002514A8">
        <w:rPr>
          <w:rFonts w:eastAsia="Arial" w:cs="Arial"/>
        </w:rPr>
        <w:t xml:space="preserve"> art. 14</w:t>
      </w:r>
      <w:r w:rsidR="005773CD" w:rsidRPr="002514A8">
        <w:rPr>
          <w:rFonts w:eastAsia="Arial" w:cs="Arial"/>
        </w:rPr>
        <w:t>, parágrafo único,</w:t>
      </w:r>
      <w:r w:rsidR="00170E81" w:rsidRPr="002514A8">
        <w:rPr>
          <w:rFonts w:eastAsia="Arial" w:cs="Arial"/>
        </w:rPr>
        <w:t xml:space="preserve"> desta Instrução Normativa </w:t>
      </w:r>
      <w:r w:rsidR="00931A78" w:rsidRPr="002514A8">
        <w:rPr>
          <w:rFonts w:eastAsia="Arial" w:cs="Arial"/>
        </w:rPr>
        <w:t>ser</w:t>
      </w:r>
      <w:r w:rsidR="000409A0" w:rsidRPr="002514A8">
        <w:rPr>
          <w:rFonts w:eastAsia="Arial" w:cs="Arial"/>
        </w:rPr>
        <w:t>ão</w:t>
      </w:r>
      <w:r w:rsidR="00931A78" w:rsidRPr="002514A8">
        <w:rPr>
          <w:rFonts w:eastAsia="Arial" w:cs="Arial"/>
        </w:rPr>
        <w:t xml:space="preserve"> definido</w:t>
      </w:r>
      <w:r w:rsidR="000409A0" w:rsidRPr="002514A8">
        <w:rPr>
          <w:rFonts w:eastAsia="Arial" w:cs="Arial"/>
        </w:rPr>
        <w:t>s</w:t>
      </w:r>
      <w:r w:rsidR="00931A78" w:rsidRPr="002514A8">
        <w:rPr>
          <w:rFonts w:eastAsia="Arial" w:cs="Arial"/>
        </w:rPr>
        <w:t xml:space="preserve"> </w:t>
      </w:r>
      <w:r w:rsidR="00452542" w:rsidRPr="002514A8">
        <w:rPr>
          <w:rFonts w:eastAsia="Arial" w:cs="Arial"/>
        </w:rPr>
        <w:t>em</w:t>
      </w:r>
      <w:r w:rsidR="00931A78" w:rsidRPr="002514A8">
        <w:rPr>
          <w:rFonts w:eastAsia="Arial" w:cs="Arial"/>
        </w:rPr>
        <w:t xml:space="preserve"> </w:t>
      </w:r>
      <w:r w:rsidR="00464CC6" w:rsidRPr="002514A8">
        <w:rPr>
          <w:rFonts w:eastAsia="Arial" w:cs="Arial"/>
        </w:rPr>
        <w:t>nota técnica</w:t>
      </w:r>
      <w:r w:rsidR="00237CC6" w:rsidRPr="002514A8">
        <w:rPr>
          <w:rFonts w:eastAsia="Arial" w:cs="Arial"/>
        </w:rPr>
        <w:t xml:space="preserve"> a ser emitida </w:t>
      </w:r>
      <w:r w:rsidR="009568A3" w:rsidRPr="002514A8">
        <w:rPr>
          <w:rFonts w:eastAsia="Arial" w:cs="Arial"/>
        </w:rPr>
        <w:t>pela Coordenadoria-Geral de Fiscalização</w:t>
      </w:r>
      <w:r w:rsidR="00170E81" w:rsidRPr="002514A8">
        <w:rPr>
          <w:rFonts w:eastAsia="Arial" w:cs="Arial"/>
        </w:rPr>
        <w:t>.</w:t>
      </w:r>
    </w:p>
    <w:p w14:paraId="73D13E3A" w14:textId="77777777" w:rsidR="004561C8" w:rsidRPr="002514A8" w:rsidRDefault="00A42C3E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  <w:b/>
          <w:bCs/>
        </w:rPr>
        <w:t xml:space="preserve">Art. 32. </w:t>
      </w:r>
      <w:r w:rsidR="00B11D2F" w:rsidRPr="002514A8">
        <w:rPr>
          <w:rFonts w:eastAsia="Arial" w:cs="Arial"/>
        </w:rPr>
        <w:t xml:space="preserve">Esta Instrução Normativa entra em vigor na data de sua publicação, com efeitos aplicáveis </w:t>
      </w:r>
      <w:r w:rsidR="007D2C5D" w:rsidRPr="002514A8">
        <w:rPr>
          <w:rFonts w:eastAsia="Arial" w:cs="Arial"/>
        </w:rPr>
        <w:t>às</w:t>
      </w:r>
      <w:r w:rsidR="00B11D2F" w:rsidRPr="002514A8">
        <w:rPr>
          <w:rFonts w:eastAsia="Arial" w:cs="Arial"/>
        </w:rPr>
        <w:t xml:space="preserve"> prestaç</w:t>
      </w:r>
      <w:r w:rsidR="00B92F1F" w:rsidRPr="002514A8">
        <w:rPr>
          <w:rFonts w:eastAsia="Arial" w:cs="Arial"/>
        </w:rPr>
        <w:t>ões</w:t>
      </w:r>
      <w:r w:rsidR="00B11D2F" w:rsidRPr="002514A8">
        <w:rPr>
          <w:rFonts w:eastAsia="Arial" w:cs="Arial"/>
        </w:rPr>
        <w:t xml:space="preserve"> de contas </w:t>
      </w:r>
      <w:r w:rsidR="007D2C5D" w:rsidRPr="002514A8">
        <w:rPr>
          <w:rFonts w:eastAsia="Arial" w:cs="Arial"/>
        </w:rPr>
        <w:t>de Prefeitos Municipais</w:t>
      </w:r>
      <w:r w:rsidR="00B11D2F" w:rsidRPr="002514A8">
        <w:rPr>
          <w:rFonts w:eastAsia="Arial" w:cs="Arial"/>
        </w:rPr>
        <w:t xml:space="preserve"> referentes aos exercícios financeiros de 2022 e seguintes</w:t>
      </w:r>
      <w:r w:rsidR="000228E8" w:rsidRPr="002514A8">
        <w:rPr>
          <w:rFonts w:eastAsia="Arial" w:cs="Arial"/>
        </w:rPr>
        <w:t>.</w:t>
      </w:r>
    </w:p>
    <w:p w14:paraId="3D4D3FBD" w14:textId="77777777" w:rsidR="00CC196F" w:rsidRPr="002514A8" w:rsidRDefault="00B92F1F" w:rsidP="00C2083B">
      <w:pPr>
        <w:spacing w:after="0"/>
        <w:rPr>
          <w:rFonts w:eastAsia="Arial" w:cs="Arial"/>
        </w:rPr>
      </w:pPr>
      <w:r w:rsidRPr="002514A8">
        <w:rPr>
          <w:rFonts w:eastAsia="Arial" w:cs="Arial"/>
        </w:rPr>
        <w:t xml:space="preserve">Parágrafo único. Excetua-se do disposto no </w:t>
      </w:r>
      <w:r w:rsidRPr="002514A8">
        <w:rPr>
          <w:rFonts w:eastAsia="Arial" w:cs="Arial"/>
          <w:i/>
          <w:iCs/>
        </w:rPr>
        <w:t>caput</w:t>
      </w:r>
      <w:r w:rsidRPr="002514A8">
        <w:rPr>
          <w:rFonts w:eastAsia="Arial" w:cs="Arial"/>
        </w:rPr>
        <w:t xml:space="preserve"> deste artigo o </w:t>
      </w:r>
      <w:r w:rsidR="008E1AFD" w:rsidRPr="002514A8">
        <w:rPr>
          <w:rFonts w:eastAsia="Arial" w:cs="Arial"/>
        </w:rPr>
        <w:t>previsto</w:t>
      </w:r>
      <w:r w:rsidRPr="002514A8">
        <w:rPr>
          <w:rFonts w:eastAsia="Arial" w:cs="Arial"/>
        </w:rPr>
        <w:t xml:space="preserve"> no</w:t>
      </w:r>
      <w:r w:rsidR="008E5ED9" w:rsidRPr="002514A8">
        <w:rPr>
          <w:rFonts w:eastAsia="Arial" w:cs="Arial"/>
        </w:rPr>
        <w:t xml:space="preserve"> art. 20</w:t>
      </w:r>
      <w:r w:rsidRPr="002514A8">
        <w:rPr>
          <w:rFonts w:eastAsia="Arial" w:cs="Arial"/>
        </w:rPr>
        <w:t>, § 2º, cujos efeitos serão aplicáveis somente às prestações de contas referentes aos exercícios financeiros de 2023 e seguintes</w:t>
      </w:r>
      <w:r w:rsidR="000371DE" w:rsidRPr="002514A8">
        <w:rPr>
          <w:rFonts w:eastAsia="Arial" w:cs="Arial"/>
        </w:rPr>
        <w:t>.</w:t>
      </w:r>
    </w:p>
    <w:p w14:paraId="57931B7D" w14:textId="77777777" w:rsidR="00003322" w:rsidRDefault="00003322" w:rsidP="00151048">
      <w:pPr>
        <w:pStyle w:val="ArtigosOrdinais"/>
        <w:spacing w:before="360"/>
        <w:jc w:val="center"/>
        <w:rPr>
          <w:rFonts w:eastAsia="Arial" w:cs="Arial"/>
          <w:sz w:val="24"/>
        </w:rPr>
      </w:pPr>
      <w:r w:rsidRPr="002514A8">
        <w:rPr>
          <w:rFonts w:eastAsia="Arial" w:cs="Arial"/>
          <w:sz w:val="24"/>
        </w:rPr>
        <w:t xml:space="preserve">Curitiba, </w:t>
      </w:r>
      <w:r w:rsidR="00B2477C">
        <w:rPr>
          <w:rFonts w:eastAsia="Arial" w:cs="Arial"/>
          <w:sz w:val="24"/>
        </w:rPr>
        <w:t>11 de julho de 2022.</w:t>
      </w:r>
    </w:p>
    <w:p w14:paraId="3BBE61D1" w14:textId="77777777" w:rsidR="00BE44CA" w:rsidRDefault="00BE44CA" w:rsidP="00151048">
      <w:pPr>
        <w:pStyle w:val="ArtigosOrdinais"/>
        <w:spacing w:before="360"/>
        <w:jc w:val="center"/>
        <w:rPr>
          <w:rFonts w:eastAsia="Arial" w:cs="Arial"/>
          <w:sz w:val="24"/>
        </w:rPr>
      </w:pPr>
    </w:p>
    <w:p w14:paraId="41925E7B" w14:textId="77777777" w:rsidR="00B2477C" w:rsidRDefault="00B2477C" w:rsidP="00B2477C">
      <w:pPr>
        <w:spacing w:before="360"/>
        <w:ind w:firstLine="0"/>
        <w:jc w:val="center"/>
        <w:rPr>
          <w:color w:val="808080"/>
        </w:rPr>
      </w:pPr>
      <w:r>
        <w:rPr>
          <w:color w:val="808080"/>
        </w:rPr>
        <w:t>- assinatura digital -</w:t>
      </w:r>
    </w:p>
    <w:p w14:paraId="273F66E2" w14:textId="77777777" w:rsidR="00B2477C" w:rsidRDefault="00B2477C" w:rsidP="00B2477C">
      <w:pPr>
        <w:spacing w:after="0"/>
        <w:ind w:firstLine="0"/>
        <w:jc w:val="center"/>
        <w:rPr>
          <w:rFonts w:cs="Arial"/>
          <w:b/>
        </w:rPr>
      </w:pPr>
      <w:bookmarkStart w:id="138" w:name="_Hlk536444639"/>
      <w:r w:rsidRPr="00780675">
        <w:rPr>
          <w:rFonts w:cs="Arial"/>
        </w:rPr>
        <w:t>Conselheiro</w:t>
      </w:r>
      <w:r>
        <w:rPr>
          <w:rFonts w:cs="Arial"/>
          <w:b/>
        </w:rPr>
        <w:t xml:space="preserve"> </w:t>
      </w:r>
      <w:bookmarkStart w:id="139" w:name="_Hlk68096993"/>
      <w:bookmarkEnd w:id="138"/>
      <w:r>
        <w:rPr>
          <w:rFonts w:cs="Arial"/>
          <w:b/>
        </w:rPr>
        <w:t>FABIO DE SOUZA CAMARGO</w:t>
      </w:r>
      <w:bookmarkEnd w:id="139"/>
    </w:p>
    <w:p w14:paraId="465AA98B" w14:textId="77777777" w:rsidR="00B2477C" w:rsidRDefault="00B2477C" w:rsidP="00B2477C">
      <w:pPr>
        <w:pStyle w:val="ArtigosOrdinais"/>
        <w:spacing w:before="0"/>
        <w:jc w:val="center"/>
        <w:rPr>
          <w:rFonts w:eastAsia="Arial" w:cs="Arial"/>
          <w:sz w:val="24"/>
        </w:rPr>
      </w:pPr>
      <w:r>
        <w:rPr>
          <w:rFonts w:cs="Arial"/>
          <w:sz w:val="24"/>
          <w:szCs w:val="22"/>
        </w:rPr>
        <w:t>Presidente</w:t>
      </w:r>
    </w:p>
    <w:p w14:paraId="1F27113D" w14:textId="1B42378C" w:rsidR="00591D29" w:rsidRPr="00DE3B56" w:rsidRDefault="005C7448" w:rsidP="00DE3B56">
      <w:pPr>
        <w:jc w:val="center"/>
        <w:rPr>
          <w:rFonts w:eastAsia="Arial" w:cs="Arial"/>
          <w:b/>
          <w:bCs/>
          <w:sz w:val="28"/>
          <w:szCs w:val="28"/>
        </w:rPr>
      </w:pPr>
      <w:r w:rsidRPr="002514A8">
        <w:rPr>
          <w:highlight w:val="yellow"/>
        </w:rPr>
        <w:br w:type="page"/>
      </w:r>
      <w:r w:rsidR="00AC046C" w:rsidRPr="00DE3B56">
        <w:rPr>
          <w:rFonts w:eastAsia="Arial" w:cs="Arial"/>
          <w:b/>
          <w:bCs/>
          <w:sz w:val="28"/>
          <w:szCs w:val="28"/>
        </w:rPr>
        <w:lastRenderedPageBreak/>
        <w:t>ANEXO 1</w:t>
      </w:r>
    </w:p>
    <w:p w14:paraId="20511242" w14:textId="7651140A" w:rsidR="00AC046C" w:rsidRDefault="00AC046C" w:rsidP="00247286">
      <w:pPr>
        <w:spacing w:before="0" w:after="240"/>
        <w:jc w:val="center"/>
        <w:rPr>
          <w:rStyle w:val="Hyperlink"/>
          <w:rFonts w:cs="Arial"/>
        </w:rPr>
      </w:pPr>
      <w:hyperlink r:id="rId23" w:history="1">
        <w:r w:rsidRPr="00AC046C">
          <w:rPr>
            <w:rStyle w:val="Hyperlink"/>
            <w:rFonts w:cs="Arial"/>
          </w:rPr>
          <w:t>(</w:t>
        </w:r>
        <w:r>
          <w:rPr>
            <w:rStyle w:val="Hyperlink"/>
            <w:rFonts w:cs="Arial"/>
          </w:rPr>
          <w:t xml:space="preserve">Renumerado </w:t>
        </w:r>
        <w:r w:rsidRPr="00AC046C">
          <w:rPr>
            <w:rStyle w:val="Hyperlink"/>
            <w:rFonts w:cs="Arial"/>
          </w:rPr>
          <w:t xml:space="preserve">pela </w:t>
        </w:r>
        <w:r w:rsidRPr="00AC046C">
          <w:rPr>
            <w:rStyle w:val="Hyperlink"/>
          </w:rPr>
          <w:t xml:space="preserve">Instrução Normativa n. </w:t>
        </w:r>
        <w:r w:rsidR="001026B8">
          <w:rPr>
            <w:rStyle w:val="Hyperlink"/>
          </w:rPr>
          <w:t>185/2024</w:t>
        </w:r>
        <w:r w:rsidRPr="00AC046C">
          <w:rPr>
            <w:rStyle w:val="Hyperlink"/>
            <w:rFonts w:cs="Arial"/>
          </w:rPr>
          <w:t>)</w:t>
        </w:r>
      </w:hyperlink>
    </w:p>
    <w:p w14:paraId="38CD1F89" w14:textId="77777777" w:rsidR="00653DBA" w:rsidRDefault="00546316" w:rsidP="00FB14FC">
      <w:pPr>
        <w:pStyle w:val="Ttulo1"/>
        <w:spacing w:before="120"/>
        <w:rPr>
          <w:rFonts w:eastAsia="Arial" w:cs="Arial"/>
        </w:rPr>
      </w:pPr>
      <w:bookmarkStart w:id="140" w:name="_Toc103326136"/>
      <w:bookmarkStart w:id="141" w:name="_Toc104385400"/>
      <w:bookmarkStart w:id="142" w:name="_Toc108448571"/>
      <w:r w:rsidRPr="002514A8">
        <w:rPr>
          <w:rFonts w:eastAsia="Arial" w:cs="Arial"/>
        </w:rPr>
        <w:t xml:space="preserve">DO </w:t>
      </w:r>
      <w:r w:rsidR="00653DBA" w:rsidRPr="002514A8">
        <w:rPr>
          <w:rFonts w:eastAsia="Arial" w:cs="Arial"/>
        </w:rPr>
        <w:t xml:space="preserve">ESCOPO </w:t>
      </w:r>
      <w:r w:rsidRPr="002514A8">
        <w:rPr>
          <w:rFonts w:eastAsia="Arial" w:cs="Arial"/>
        </w:rPr>
        <w:t>DE ANÁLISE</w:t>
      </w:r>
      <w:bookmarkEnd w:id="140"/>
      <w:bookmarkEnd w:id="141"/>
      <w:bookmarkEnd w:id="142"/>
    </w:p>
    <w:p w14:paraId="0BF74F4B" w14:textId="04C463FA" w:rsidR="00484852" w:rsidRDefault="00484852" w:rsidP="00484852">
      <w:pPr>
        <w:pStyle w:val="Ttulo1"/>
        <w:spacing w:before="120"/>
        <w:rPr>
          <w:rFonts w:eastAsia="Arial" w:cs="Arial"/>
        </w:rPr>
      </w:pPr>
    </w:p>
    <w:tbl>
      <w:tblPr>
        <w:tblW w:w="550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7"/>
        <w:gridCol w:w="3776"/>
        <w:gridCol w:w="3632"/>
      </w:tblGrid>
      <w:tr w:rsidR="00484852" w14:paraId="0F17AA2A" w14:textId="77777777" w:rsidTr="00D86DC9">
        <w:trPr>
          <w:trHeight w:val="20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AB11" w14:textId="77777777" w:rsidR="00484852" w:rsidRDefault="00484852" w:rsidP="00D86DC9">
            <w:pPr>
              <w:adjustRightInd w:val="0"/>
              <w:spacing w:before="40" w:after="40"/>
              <w:ind w:left="57" w:right="57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Grupo de Análise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7534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Itens de Análise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376A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Fundamento legal</w:t>
            </w:r>
          </w:p>
        </w:tc>
      </w:tr>
      <w:tr w:rsidR="00484852" w14:paraId="5E81BC6A" w14:textId="77777777" w:rsidTr="00D86DC9">
        <w:trPr>
          <w:trHeight w:val="20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B9C5" w14:textId="77777777" w:rsidR="00484852" w:rsidRDefault="00484852" w:rsidP="00484852">
            <w:pPr>
              <w:pStyle w:val="PargrafodaLista"/>
              <w:numPr>
                <w:ilvl w:val="0"/>
                <w:numId w:val="6"/>
              </w:numPr>
              <w:adjustRightInd w:val="0"/>
              <w:spacing w:before="40" w:after="40" w:line="247" w:lineRule="auto"/>
              <w:ind w:right="57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Controle Interno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69FE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  <w:szCs w:val="20"/>
              </w:rPr>
            </w:pPr>
            <w:r>
              <w:rPr>
                <w:sz w:val="20"/>
              </w:rPr>
              <w:t>1.1. Encaminhamento da declaração de ciência do relatório anual de Controle Interno.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34A7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Complementar Estadual nº 113, de 2005, art. 7º.</w:t>
            </w:r>
          </w:p>
        </w:tc>
      </w:tr>
      <w:tr w:rsidR="00484852" w14:paraId="33BB2EFB" w14:textId="77777777" w:rsidTr="00D86DC9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0EDE" w14:textId="77777777" w:rsidR="00484852" w:rsidRDefault="00484852" w:rsidP="00D86DC9">
            <w:pPr>
              <w:adjustRightInd w:val="0"/>
              <w:spacing w:before="40" w:after="40"/>
              <w:ind w:left="57" w:right="57"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 Aplicação no ensino básico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24C0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2.1. Aplicação do índice mínimo de 25% em manutenção e desenvolvimento da educação básica municipal.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CC3E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Constituição Federal, art. 212.</w:t>
            </w:r>
          </w:p>
        </w:tc>
      </w:tr>
      <w:tr w:rsidR="00484852" w14:paraId="23761805" w14:textId="77777777" w:rsidTr="00D86DC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1F76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C843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2.2. Aplicação de no mínimo 70% dos recursos do FUNDEB na remuneração dos profissionais da educação básica.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7661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Federal nº 14.113, de 2020, art. 26.</w:t>
            </w:r>
          </w:p>
        </w:tc>
      </w:tr>
      <w:tr w:rsidR="00484852" w14:paraId="044175D2" w14:textId="77777777" w:rsidTr="00D86DC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34D0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BD7E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2.3. Aplicação de no mínimo 90% dos recursos do FUNDEB no exercício da arrecadação.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71DF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 xml:space="preserve">Lei Federal nº 14.113, de 2020, art. 25, </w:t>
            </w:r>
            <w:r>
              <w:rPr>
                <w:i/>
                <w:iCs/>
                <w:sz w:val="20"/>
              </w:rPr>
              <w:t>caput,</w:t>
            </w:r>
            <w:r>
              <w:rPr>
                <w:sz w:val="20"/>
              </w:rPr>
              <w:t xml:space="preserve"> e § 3º.</w:t>
            </w:r>
          </w:p>
        </w:tc>
      </w:tr>
      <w:tr w:rsidR="00484852" w14:paraId="6AB6F911" w14:textId="77777777" w:rsidTr="00D86DC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ABDD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  <w:bookmarkStart w:id="143" w:name="_Hlk86390592" w:colFirst="1" w:colLast="2"/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2E6C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2.4. Aplicação de no mínimo 15% do valor da complementação do Valor Anual Total por Aluno (VAAT) em despesas de capital.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F014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Federal nº 14.113, de 2020, art. 27.</w:t>
            </w:r>
          </w:p>
        </w:tc>
      </w:tr>
      <w:tr w:rsidR="00484852" w14:paraId="12D891C7" w14:textId="77777777" w:rsidTr="00D86DC9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FE29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1D78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2.5. Aplicação de no mínimo 50% da complementação do Valor Anual Total por Aluno (VAAT) na educação infantil.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75BC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Federal nº 14.113, de 2020, art. 28.</w:t>
            </w:r>
          </w:p>
        </w:tc>
      </w:tr>
      <w:tr w:rsidR="00484852" w14:paraId="0FDD7DE0" w14:textId="77777777" w:rsidTr="00D86DC9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491A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1AB3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2.6. Complementação na aplicação da manutenção e desenvolvimento do ensino da diferença a menor entre o valor aplicado e o valor mínimo exigível constitucionalmente para os exercícios de 2020 e 2021 (item aplicado exclusivamente para o exercício financeiro de 2023)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1DF8" w14:textId="77777777" w:rsidR="00484852" w:rsidRDefault="00484852" w:rsidP="00D86DC9">
            <w:pPr>
              <w:adjustRightInd w:val="0"/>
              <w:spacing w:before="40" w:after="40"/>
              <w:ind w:right="100" w:firstLine="0"/>
              <w:rPr>
                <w:sz w:val="20"/>
              </w:rPr>
            </w:pPr>
            <w:r>
              <w:rPr>
                <w:sz w:val="20"/>
              </w:rPr>
              <w:t>Ato das Disposições Constitucionais Transitórias, art. 119, parágrafo único.</w:t>
            </w:r>
          </w:p>
        </w:tc>
      </w:tr>
      <w:bookmarkEnd w:id="143"/>
      <w:tr w:rsidR="00484852" w14:paraId="621E6A13" w14:textId="77777777" w:rsidTr="00D86DC9">
        <w:trPr>
          <w:trHeight w:val="20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B87E" w14:textId="77777777" w:rsidR="00484852" w:rsidRDefault="00484852" w:rsidP="00D86DC9">
            <w:pPr>
              <w:adjustRightInd w:val="0"/>
              <w:spacing w:before="40" w:after="40"/>
              <w:ind w:left="57" w:right="57"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3. Aplicação em ações de saúde 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8381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3.1. Aplicação do índice mínimo de 15% em serviços e ações de saúde pública.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BB84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Constituição Federal, art. 198.</w:t>
            </w:r>
          </w:p>
          <w:p w14:paraId="00FF6DA8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Complementar Federal nº 141, de 2012, art. 7º.</w:t>
            </w:r>
          </w:p>
        </w:tc>
      </w:tr>
      <w:tr w:rsidR="00484852" w14:paraId="59786DED" w14:textId="77777777" w:rsidTr="00D86DC9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3389" w14:textId="77777777" w:rsidR="00484852" w:rsidRDefault="00484852" w:rsidP="00D86DC9">
            <w:pPr>
              <w:adjustRightInd w:val="0"/>
              <w:spacing w:before="40" w:after="40"/>
              <w:ind w:left="57" w:right="57"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 Gestão Fiscal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F74B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4.1. Limite de despesas com pessoal – retorno ao limite e/ou redução de 1/3 nos prazos legais.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E0FF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 xml:space="preserve">Lei Complementar Federal nº 101, de 2000, art. 23. </w:t>
            </w:r>
          </w:p>
        </w:tc>
      </w:tr>
      <w:tr w:rsidR="00484852" w14:paraId="15E5EF30" w14:textId="77777777" w:rsidTr="00D86DC9">
        <w:trPr>
          <w:trHeight w:val="1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0E63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DE62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4.2. Limite para a Dívida Consolidada – retorno ao limite e/ou redução de 25% nos prazos legais.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172A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Resolução Senado Federal nº 40, de 2001, art. 3º, II.</w:t>
            </w:r>
          </w:p>
          <w:p w14:paraId="7BCF7D9F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 xml:space="preserve">Lei Complementar Federal nº 101, de 2000, </w:t>
            </w:r>
            <w:proofErr w:type="spellStart"/>
            <w:r>
              <w:rPr>
                <w:sz w:val="20"/>
              </w:rPr>
              <w:t>arts</w:t>
            </w:r>
            <w:proofErr w:type="spellEnd"/>
            <w:r>
              <w:rPr>
                <w:sz w:val="20"/>
              </w:rPr>
              <w:t>. 30, I, e 31.</w:t>
            </w:r>
          </w:p>
          <w:p w14:paraId="62133505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Constituição Federal, art. 52, VI.</w:t>
            </w:r>
          </w:p>
        </w:tc>
      </w:tr>
      <w:tr w:rsidR="00484852" w14:paraId="7D1BECF5" w14:textId="77777777" w:rsidTr="00D86DC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CD45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98D3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4.3. Resultado orçamentário/financeiro de fontes não vinculadas a programas, convênios, operações de créditos e RPPS.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9870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 xml:space="preserve">Lei Complementar Federal nº 101, de 2000, </w:t>
            </w:r>
            <w:proofErr w:type="spellStart"/>
            <w:r>
              <w:rPr>
                <w:sz w:val="20"/>
              </w:rPr>
              <w:t>arts</w:t>
            </w:r>
            <w:proofErr w:type="spellEnd"/>
            <w:r>
              <w:rPr>
                <w:sz w:val="20"/>
              </w:rPr>
              <w:t>. 1º, § 1º, e 13.</w:t>
            </w:r>
          </w:p>
        </w:tc>
      </w:tr>
      <w:tr w:rsidR="00484852" w14:paraId="0F93DA8B" w14:textId="77777777" w:rsidTr="00D86DC9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5EFA" w14:textId="77777777" w:rsidR="00484852" w:rsidRDefault="00484852" w:rsidP="00D86DC9">
            <w:pPr>
              <w:adjustRightInd w:val="0"/>
              <w:spacing w:before="40" w:after="40"/>
              <w:ind w:left="57" w:right="57"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5. Gestão do Regime Próprio de Previdência Social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6CEB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 xml:space="preserve">5.1. Encaminhamento da Lei Municipal que institui o Plano de Equacionamento do </w:t>
            </w:r>
            <w:proofErr w:type="spellStart"/>
            <w:r>
              <w:rPr>
                <w:sz w:val="20"/>
              </w:rPr>
              <w:t>Deficit</w:t>
            </w:r>
            <w:proofErr w:type="spellEnd"/>
            <w:r>
              <w:rPr>
                <w:sz w:val="20"/>
              </w:rPr>
              <w:t xml:space="preserve"> Atuarial.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53E2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Federal nº 9.717, de 1998, art. 9º.</w:t>
            </w:r>
          </w:p>
          <w:p w14:paraId="057FB6C8" w14:textId="77777777" w:rsidR="00484852" w:rsidRDefault="00484852" w:rsidP="00D86DC9">
            <w:pPr>
              <w:adjustRightInd w:val="0"/>
              <w:spacing w:before="40" w:after="40"/>
              <w:ind w:right="100" w:firstLine="0"/>
              <w:rPr>
                <w:sz w:val="20"/>
              </w:rPr>
            </w:pPr>
            <w:r>
              <w:rPr>
                <w:sz w:val="20"/>
              </w:rPr>
              <w:t>Portaria MF nº 464, de 2018, art. 53, § 6º.</w:t>
            </w:r>
          </w:p>
        </w:tc>
      </w:tr>
      <w:tr w:rsidR="00484852" w14:paraId="46392ADD" w14:textId="77777777" w:rsidTr="00D86DC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CFB4" w14:textId="77777777" w:rsidR="00484852" w:rsidRDefault="00484852" w:rsidP="00D86DC9">
            <w:pPr>
              <w:spacing w:after="0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F19F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 xml:space="preserve">5.2. Pagamento de aportes para cobertura do </w:t>
            </w:r>
            <w:proofErr w:type="spellStart"/>
            <w:r>
              <w:rPr>
                <w:sz w:val="20"/>
              </w:rPr>
              <w:t>deficit</w:t>
            </w:r>
            <w:proofErr w:type="spellEnd"/>
            <w:r>
              <w:rPr>
                <w:sz w:val="20"/>
              </w:rPr>
              <w:t xml:space="preserve"> atuarial na forma apurada no laudo atuarial.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5AAC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Federal nº 9.717, de 1998, art. 9º.</w:t>
            </w:r>
          </w:p>
          <w:p w14:paraId="7F284056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 xml:space="preserve">Portaria MPS nº 464, de 2018, </w:t>
            </w:r>
            <w:proofErr w:type="spellStart"/>
            <w:r>
              <w:rPr>
                <w:sz w:val="20"/>
              </w:rPr>
              <w:t>arts</w:t>
            </w:r>
            <w:proofErr w:type="spellEnd"/>
            <w:r>
              <w:rPr>
                <w:sz w:val="20"/>
              </w:rPr>
              <w:t>. 53, § 1º, e 55.</w:t>
            </w:r>
          </w:p>
        </w:tc>
      </w:tr>
      <w:tr w:rsidR="00484852" w14:paraId="604906C7" w14:textId="77777777" w:rsidTr="00D86DC9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316F" w14:textId="77777777" w:rsidR="00484852" w:rsidRDefault="00484852" w:rsidP="00D86DC9">
            <w:pPr>
              <w:spacing w:before="40" w:after="40"/>
              <w:ind w:left="57" w:right="57" w:firstLine="0"/>
              <w:rPr>
                <w:sz w:val="20"/>
              </w:rPr>
            </w:pPr>
            <w:r>
              <w:rPr>
                <w:b/>
                <w:bCs/>
                <w:sz w:val="20"/>
              </w:rPr>
              <w:t>6. Encerramento de Mandato *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3E4C" w14:textId="77777777" w:rsidR="00484852" w:rsidRDefault="00484852" w:rsidP="00D86DC9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>
              <w:rPr>
                <w:sz w:val="20"/>
              </w:rPr>
              <w:t>6.1 Obrigações de despesas contraídas nos últimos dois quadrimestres do mandato que tenham parcelas a serem pagas no exercício seguinte sem que haja suficiente disponibilidade de caixa.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D4AF" w14:textId="77777777" w:rsidR="00484852" w:rsidRDefault="00484852" w:rsidP="00D86DC9">
            <w:pPr>
              <w:adjustRightInd w:val="0"/>
              <w:spacing w:before="40" w:after="40"/>
              <w:ind w:left="28" w:right="100" w:firstLine="0"/>
              <w:rPr>
                <w:sz w:val="20"/>
              </w:rPr>
            </w:pPr>
            <w:r>
              <w:rPr>
                <w:sz w:val="20"/>
              </w:rPr>
              <w:t>Lei Complementar Federal nº 101, de 2000, art. 42.</w:t>
            </w:r>
          </w:p>
        </w:tc>
      </w:tr>
      <w:tr w:rsidR="00484852" w14:paraId="77342E30" w14:textId="77777777" w:rsidTr="00D86DC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EBE3" w14:textId="77777777" w:rsidR="00484852" w:rsidRDefault="00484852" w:rsidP="00D86DC9">
            <w:pPr>
              <w:spacing w:after="0"/>
              <w:ind w:firstLine="0"/>
              <w:jc w:val="left"/>
              <w:rPr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5D5F" w14:textId="00F3E992" w:rsidR="00484852" w:rsidRPr="00FE02F1" w:rsidRDefault="00484852" w:rsidP="00FE02F1">
            <w:pPr>
              <w:ind w:firstLine="0"/>
              <w:rPr>
                <w:sz w:val="20"/>
              </w:rPr>
            </w:pPr>
            <w:r w:rsidRPr="00FE02F1">
              <w:rPr>
                <w:strike/>
                <w:sz w:val="20"/>
              </w:rPr>
              <w:t>6.2 Empenhar, no primeiro semestre do ano de eleição, despesas com publicidade que excedam a 6 (seis) vezes a média mensal dos valores empenhados e não cancelados nos 3 (três) últimos anos que antecedem o pleito.</w:t>
            </w:r>
            <w:r w:rsidR="00FE02F1">
              <w:rPr>
                <w:strike/>
                <w:sz w:val="20"/>
              </w:rPr>
              <w:t xml:space="preserve"> </w:t>
            </w:r>
            <w:hyperlink r:id="rId24" w:history="1">
              <w:r w:rsidR="00FE02F1" w:rsidRPr="00FE02F1">
                <w:rPr>
                  <w:rStyle w:val="Hyperlink"/>
                  <w:sz w:val="20"/>
                </w:rPr>
                <w:t>(Revogado pela Instrução Normativa n. 188/2024)</w:t>
              </w:r>
            </w:hyperlink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F3BB" w14:textId="77777777" w:rsidR="00484852" w:rsidRPr="00FE02F1" w:rsidRDefault="00484852" w:rsidP="00D86DC9">
            <w:pPr>
              <w:adjustRightInd w:val="0"/>
              <w:spacing w:before="40" w:after="40"/>
              <w:ind w:left="28" w:right="100" w:firstLine="0"/>
              <w:rPr>
                <w:strike/>
                <w:sz w:val="20"/>
              </w:rPr>
            </w:pPr>
            <w:r w:rsidRPr="00FE02F1">
              <w:rPr>
                <w:strike/>
                <w:sz w:val="20"/>
              </w:rPr>
              <w:t>Lei Federal nº 9.504, de 1997, art. 73, inciso VII.</w:t>
            </w:r>
          </w:p>
        </w:tc>
      </w:tr>
      <w:tr w:rsidR="00484852" w14:paraId="37BB53C5" w14:textId="77777777" w:rsidTr="00D86DC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DECD" w14:textId="77777777" w:rsidR="00484852" w:rsidRDefault="00484852" w:rsidP="00D86DC9">
            <w:pPr>
              <w:spacing w:after="0"/>
              <w:ind w:firstLine="0"/>
              <w:jc w:val="left"/>
              <w:rPr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1F95" w14:textId="0DDA61D0" w:rsidR="00FE02F1" w:rsidRPr="00FE02F1" w:rsidRDefault="00484852" w:rsidP="00FE02F1">
            <w:pPr>
              <w:adjustRightInd w:val="0"/>
              <w:spacing w:before="40" w:after="40"/>
              <w:ind w:left="74" w:right="136" w:firstLine="0"/>
              <w:rPr>
                <w:sz w:val="20"/>
              </w:rPr>
            </w:pPr>
            <w:r w:rsidRPr="00FE02F1">
              <w:rPr>
                <w:strike/>
                <w:sz w:val="20"/>
              </w:rPr>
              <w:t>6.3 Despesas com publicidade institucional realizadas nos 3 (três) meses que antecedem o pleito.</w:t>
            </w:r>
            <w:hyperlink r:id="rId25" w:history="1">
              <w:r w:rsidR="00FE02F1" w:rsidRPr="00FE02F1">
                <w:rPr>
                  <w:rStyle w:val="Hyperlink"/>
                  <w:sz w:val="20"/>
                </w:rPr>
                <w:t>(Revogado pela Instrução Normativa n. 188/2024)</w:t>
              </w:r>
            </w:hyperlink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9169" w14:textId="77777777" w:rsidR="00484852" w:rsidRPr="00FE02F1" w:rsidRDefault="00484852" w:rsidP="00D86DC9">
            <w:pPr>
              <w:adjustRightInd w:val="0"/>
              <w:spacing w:before="40" w:after="40"/>
              <w:ind w:left="28" w:right="100" w:firstLine="0"/>
              <w:rPr>
                <w:strike/>
                <w:sz w:val="20"/>
              </w:rPr>
            </w:pPr>
            <w:r w:rsidRPr="00FE02F1">
              <w:rPr>
                <w:strike/>
                <w:sz w:val="20"/>
              </w:rPr>
              <w:t>Lei Federal nº 9.504, de 1997, art. 73, inciso VI, b.</w:t>
            </w:r>
          </w:p>
        </w:tc>
      </w:tr>
    </w:tbl>
    <w:p w14:paraId="28897254" w14:textId="0DE71346" w:rsidR="00484852" w:rsidRDefault="00484852" w:rsidP="00484852">
      <w:pPr>
        <w:ind w:firstLine="0"/>
        <w:rPr>
          <w:strike/>
          <w:sz w:val="20"/>
        </w:rPr>
      </w:pPr>
      <w:r>
        <w:rPr>
          <w:sz w:val="20"/>
        </w:rPr>
        <w:t xml:space="preserve">Obs. (*): </w:t>
      </w:r>
      <w:r w:rsidRPr="00FE02F1">
        <w:rPr>
          <w:strike/>
          <w:sz w:val="20"/>
        </w:rPr>
        <w:t>Os itens de escopo que compõem o grupo de análise “6. Encerramento de Mandato” se aplicarão exclusivamente às prestações de contas referentes aos exercícios financeiros de encerramento de mandato (eleitorais).</w:t>
      </w:r>
      <w:r w:rsidR="00FE02F1">
        <w:rPr>
          <w:strike/>
          <w:sz w:val="20"/>
        </w:rPr>
        <w:t xml:space="preserve"> </w:t>
      </w:r>
    </w:p>
    <w:p w14:paraId="3D3DCE64" w14:textId="6DA9C345" w:rsidR="00FE02F1" w:rsidRPr="00FE02F1" w:rsidRDefault="00FE02F1" w:rsidP="00FE02F1">
      <w:pPr>
        <w:ind w:firstLine="0"/>
        <w:rPr>
          <w:strike/>
          <w:sz w:val="20"/>
          <w:szCs w:val="20"/>
        </w:rPr>
      </w:pPr>
      <w:r w:rsidRPr="00FE02F1">
        <w:rPr>
          <w:sz w:val="20"/>
          <w:szCs w:val="20"/>
        </w:rPr>
        <w:t>Obs. (*):</w:t>
      </w:r>
      <w:r w:rsidRPr="00FE02F1">
        <w:rPr>
          <w:sz w:val="20"/>
          <w:szCs w:val="20"/>
        </w:rPr>
        <w:t xml:space="preserve"> </w:t>
      </w:r>
      <w:r w:rsidRPr="00FE02F1">
        <w:rPr>
          <w:sz w:val="20"/>
          <w:szCs w:val="20"/>
        </w:rPr>
        <w:t>O item de escopo que compõe o grupo de análise “6. Encerramento de Mandato” se aplica exclusivamente às prestações de contas referentes aos exercícios financeiros de encerramento de mandato (eleitorais)</w:t>
      </w:r>
      <w:r w:rsidRPr="00FE02F1">
        <w:rPr>
          <w:sz w:val="20"/>
          <w:szCs w:val="20"/>
        </w:rPr>
        <w:t>.</w:t>
      </w:r>
      <w:hyperlink r:id="rId26" w:history="1">
        <w:r w:rsidRPr="00FE02F1">
          <w:rPr>
            <w:rStyle w:val="Hyperlink"/>
            <w:sz w:val="20"/>
          </w:rPr>
          <w:t>(R</w:t>
        </w:r>
        <w:r>
          <w:rPr>
            <w:rStyle w:val="Hyperlink"/>
            <w:sz w:val="20"/>
          </w:rPr>
          <w:t>edação dada</w:t>
        </w:r>
        <w:r w:rsidRPr="00FE02F1">
          <w:rPr>
            <w:rStyle w:val="Hyperlink"/>
            <w:sz w:val="20"/>
          </w:rPr>
          <w:t xml:space="preserve"> pela Instrução Normativa n. 188/2024)</w:t>
        </w:r>
      </w:hyperlink>
    </w:p>
    <w:p w14:paraId="749CC4FB" w14:textId="77777777" w:rsidR="00FE02F1" w:rsidRDefault="00FE02F1" w:rsidP="00484852">
      <w:pPr>
        <w:ind w:firstLine="0"/>
        <w:rPr>
          <w:sz w:val="20"/>
          <w:szCs w:val="20"/>
        </w:rPr>
      </w:pPr>
    </w:p>
    <w:p w14:paraId="3BF3B81D" w14:textId="77777777" w:rsidR="00484852" w:rsidRDefault="00484852" w:rsidP="00484852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sz w:val="20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ANEXO II </w:t>
      </w:r>
    </w:p>
    <w:p w14:paraId="0FEB01D6" w14:textId="77777777" w:rsidR="00484852" w:rsidRPr="002D2FFC" w:rsidRDefault="00484852" w:rsidP="00484852">
      <w:pPr>
        <w:pStyle w:val="paragraph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hyperlink r:id="rId27" w:history="1">
        <w:r w:rsidRPr="002D2FFC">
          <w:rPr>
            <w:rStyle w:val="Hyperlink"/>
            <w:rFonts w:ascii="Arial" w:hAnsi="Arial" w:cs="Arial"/>
          </w:rPr>
          <w:t>(</w:t>
        </w:r>
        <w:r>
          <w:rPr>
            <w:rStyle w:val="Hyperlink"/>
            <w:rFonts w:ascii="Arial" w:hAnsi="Arial" w:cs="Arial"/>
          </w:rPr>
          <w:t>Incluído</w:t>
        </w:r>
        <w:r w:rsidRPr="002D2FFC">
          <w:rPr>
            <w:rStyle w:val="Hyperlink"/>
            <w:rFonts w:ascii="Arial" w:hAnsi="Arial" w:cs="Arial"/>
          </w:rPr>
          <w:t xml:space="preserve"> pela Instrução Normativa n. 185/2024)</w:t>
        </w:r>
      </w:hyperlink>
    </w:p>
    <w:p w14:paraId="45B2254A" w14:textId="77777777" w:rsidR="00484852" w:rsidRDefault="00484852" w:rsidP="00484852">
      <w:pPr>
        <w:spacing w:after="240"/>
        <w:ind w:firstLine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Cs w:val="24"/>
        </w:rPr>
        <w:t>VETORES REFERENCIAIS DA EVOLUÇÃO DA IMPLEMENTAÇÃO DE POLÍTICAS PÚBLICAS </w:t>
      </w:r>
    </w:p>
    <w:p w14:paraId="5E4D6AB6" w14:textId="77777777" w:rsidR="00484852" w:rsidRDefault="00484852" w:rsidP="00484852">
      <w:pPr>
        <w:spacing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0"/>
        </w:rPr>
        <w:t>  </w:t>
      </w:r>
    </w:p>
    <w:p w14:paraId="5B03B85C" w14:textId="77777777" w:rsidR="00484852" w:rsidRDefault="00484852" w:rsidP="00484852">
      <w:pPr>
        <w:spacing w:after="0"/>
        <w:textAlignment w:val="baseline"/>
        <w:rPr>
          <w:rFonts w:ascii="Times New Roman" w:hAnsi="Times New Roman"/>
          <w:sz w:val="20"/>
          <w:szCs w:val="20"/>
        </w:rPr>
      </w:pPr>
      <w:r>
        <w:rPr>
          <w:sz w:val="20"/>
        </w:rPr>
        <w:t>Os vetores a seguir são meramente referenciais e não vinculantes, servindo para subsidiar a avaliação objetiva e sistemática das políticas públicas, nos termos do art. 217-A do Regimento Interno.</w:t>
      </w:r>
    </w:p>
    <w:p w14:paraId="38C47F02" w14:textId="77777777" w:rsidR="00484852" w:rsidRDefault="00484852" w:rsidP="00484852">
      <w:pPr>
        <w:spacing w:after="0"/>
        <w:textAlignment w:val="baseline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962"/>
        <w:gridCol w:w="2126"/>
        <w:gridCol w:w="1843"/>
        <w:gridCol w:w="1836"/>
      </w:tblGrid>
      <w:tr w:rsidR="00484852" w:rsidRPr="00A2558C" w14:paraId="230CB374" w14:textId="77777777" w:rsidTr="00D86DC9">
        <w:trPr>
          <w:trHeight w:val="6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448B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20"/>
              </w:rPr>
            </w:pPr>
            <w:r w:rsidRPr="00A2558C">
              <w:rPr>
                <w:rFonts w:eastAsia="Times New Roman"/>
                <w:sz w:val="20"/>
              </w:rPr>
              <w:t xml:space="preserve">Vetor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7A03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20"/>
              </w:rPr>
            </w:pPr>
            <w:r w:rsidRPr="00A2558C">
              <w:rPr>
                <w:rFonts w:eastAsia="Times New Roman"/>
                <w:sz w:val="20"/>
              </w:rPr>
              <w:t>Enquadramento da Nota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A60C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20"/>
              </w:rPr>
            </w:pPr>
            <w:r w:rsidRPr="00A2558C">
              <w:rPr>
                <w:rFonts w:eastAsia="Times New Roman"/>
                <w:sz w:val="20"/>
              </w:rPr>
              <w:t>Verificação da Evolução/Involução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F5D9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20"/>
              </w:rPr>
            </w:pPr>
            <w:r w:rsidRPr="00A2558C">
              <w:rPr>
                <w:rFonts w:eastAsia="Times New Roman"/>
                <w:sz w:val="20"/>
              </w:rPr>
              <w:t>Hipótese (A)</w:t>
            </w:r>
          </w:p>
          <w:p w14:paraId="244A575B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20"/>
              </w:rPr>
            </w:pPr>
            <w:r w:rsidRPr="00A2558C">
              <w:rPr>
                <w:rFonts w:eastAsia="Times New Roman"/>
                <w:sz w:val="20"/>
              </w:rPr>
              <w:t>Ressalvas das Contas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0983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20"/>
              </w:rPr>
            </w:pPr>
            <w:r w:rsidRPr="00A2558C">
              <w:rPr>
                <w:rFonts w:eastAsia="Times New Roman"/>
                <w:sz w:val="20"/>
              </w:rPr>
              <w:t>Hipótese (B)</w:t>
            </w:r>
          </w:p>
          <w:p w14:paraId="29A7BD0F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20"/>
              </w:rPr>
            </w:pPr>
            <w:r w:rsidRPr="00A2558C">
              <w:rPr>
                <w:rFonts w:eastAsia="Times New Roman"/>
                <w:sz w:val="20"/>
              </w:rPr>
              <w:t>Irregularidade das Contas</w:t>
            </w:r>
          </w:p>
        </w:tc>
      </w:tr>
      <w:tr w:rsidR="00484852" w:rsidRPr="00A2558C" w14:paraId="1AD134B4" w14:textId="77777777" w:rsidTr="00D86DC9">
        <w:trPr>
          <w:trHeight w:val="170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3C29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  <w:r w:rsidRPr="00A2558C">
              <w:rPr>
                <w:rFonts w:eastAsia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D49F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 xml:space="preserve">Se a nota for inferior à média das notas das áreas de todos os Municípios paranaenses ou inferior à nota 5,00 </w:t>
            </w:r>
          </w:p>
          <w:p w14:paraId="0B2ECEE7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(das duas a menor)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200E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E houver decréscimo igual ou superior a 5% da nota obtida pelo ente na área no exercício anterior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6C0A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Primeira incidência do vetor 1 durante a gestão(</w:t>
            </w:r>
            <w:proofErr w:type="spellStart"/>
            <w:r w:rsidRPr="00A2558C">
              <w:rPr>
                <w:rFonts w:eastAsia="Times New Roman"/>
                <w:sz w:val="14"/>
                <w:szCs w:val="14"/>
              </w:rPr>
              <w:t>ões</w:t>
            </w:r>
            <w:proofErr w:type="spellEnd"/>
            <w:r w:rsidRPr="00A2558C">
              <w:rPr>
                <w:rFonts w:eastAsia="Times New Roman"/>
                <w:sz w:val="14"/>
                <w:szCs w:val="14"/>
              </w:rPr>
              <w:t>) do(a) Prefeito(a) Municipal.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82E4" w14:textId="77777777" w:rsidR="00484852" w:rsidRPr="00A2558C" w:rsidRDefault="00484852" w:rsidP="00D86DC9">
            <w:pPr>
              <w:spacing w:after="0"/>
              <w:ind w:firstLine="0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Reincidência de vetor (independente se vetor 1, 2 ou 3) durante a(s) gestão(</w:t>
            </w:r>
            <w:proofErr w:type="spellStart"/>
            <w:r w:rsidRPr="00A2558C">
              <w:rPr>
                <w:rFonts w:eastAsia="Times New Roman"/>
                <w:sz w:val="14"/>
                <w:szCs w:val="14"/>
              </w:rPr>
              <w:t>ões</w:t>
            </w:r>
            <w:proofErr w:type="spellEnd"/>
            <w:r w:rsidRPr="00A2558C">
              <w:rPr>
                <w:rFonts w:eastAsia="Times New Roman"/>
                <w:sz w:val="14"/>
                <w:szCs w:val="14"/>
              </w:rPr>
              <w:t>) do(a) Prefeito(a) Municipal.</w:t>
            </w:r>
          </w:p>
        </w:tc>
      </w:tr>
      <w:tr w:rsidR="00484852" w:rsidRPr="00A2558C" w14:paraId="58CF1F88" w14:textId="77777777" w:rsidTr="00D86DC9">
        <w:trPr>
          <w:trHeight w:val="170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A8FE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  <w:r w:rsidRPr="00A2558C">
              <w:rPr>
                <w:rFonts w:eastAsia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FCAE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 xml:space="preserve">Se a nota for superior à média das notas das áreas de todos os Municípios paranaenses ou superior à nota 5,00 </w:t>
            </w:r>
          </w:p>
          <w:p w14:paraId="498461F9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(das duas a menor)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6139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E houver decréscimo igual ou superior a 15% da nota obtida pelo ente na área no exercício anterior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CAC2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Primeira incidência do vetor 2 durante a gestão(</w:t>
            </w:r>
            <w:proofErr w:type="spellStart"/>
            <w:r w:rsidRPr="00A2558C">
              <w:rPr>
                <w:rFonts w:eastAsia="Times New Roman"/>
                <w:sz w:val="14"/>
                <w:szCs w:val="14"/>
              </w:rPr>
              <w:t>ões</w:t>
            </w:r>
            <w:proofErr w:type="spellEnd"/>
            <w:r w:rsidRPr="00A2558C">
              <w:rPr>
                <w:rFonts w:eastAsia="Times New Roman"/>
                <w:sz w:val="14"/>
                <w:szCs w:val="14"/>
              </w:rPr>
              <w:t>) do(a) Prefeito(a) Municipal.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427A" w14:textId="77777777" w:rsidR="00484852" w:rsidRPr="00A2558C" w:rsidRDefault="00484852" w:rsidP="00D86DC9">
            <w:pPr>
              <w:spacing w:after="0"/>
              <w:ind w:firstLine="0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Reincidência de vetor (independente se vetor 1, 2 ou 3) durante a(s) gestão(</w:t>
            </w:r>
            <w:proofErr w:type="spellStart"/>
            <w:r w:rsidRPr="00A2558C">
              <w:rPr>
                <w:rFonts w:eastAsia="Times New Roman"/>
                <w:sz w:val="14"/>
                <w:szCs w:val="14"/>
              </w:rPr>
              <w:t>ões</w:t>
            </w:r>
            <w:proofErr w:type="spellEnd"/>
            <w:r w:rsidRPr="00A2558C">
              <w:rPr>
                <w:rFonts w:eastAsia="Times New Roman"/>
                <w:sz w:val="14"/>
                <w:szCs w:val="14"/>
              </w:rPr>
              <w:t>) do(a) Prefeito(a) Municipal.</w:t>
            </w:r>
          </w:p>
        </w:tc>
      </w:tr>
      <w:tr w:rsidR="00484852" w:rsidRPr="00A2558C" w14:paraId="63DF8975" w14:textId="77777777" w:rsidTr="00D86DC9">
        <w:trPr>
          <w:trHeight w:val="170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7CC0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  <w:r w:rsidRPr="00A2558C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8B26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 xml:space="preserve">Se a nota for inferior à 30% da média das notas das áreas de todos os Municípios paranaenses ou inferior à 3,50 </w:t>
            </w:r>
          </w:p>
          <w:p w14:paraId="166DE987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(das duas a menor)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A6C7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E houver decréscimo inferior a 5% ou acréscimo menor que 5% da nota obtida pelo ente na área no exercício anterior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E5C0" w14:textId="77777777" w:rsidR="00484852" w:rsidRPr="00A2558C" w:rsidRDefault="00484852" w:rsidP="00D86DC9">
            <w:pPr>
              <w:spacing w:after="0"/>
              <w:ind w:firstLine="0"/>
              <w:jc w:val="center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Primeira incidência do vetor 3 durante a gestão(</w:t>
            </w:r>
            <w:proofErr w:type="spellStart"/>
            <w:r w:rsidRPr="00A2558C">
              <w:rPr>
                <w:rFonts w:eastAsia="Times New Roman"/>
                <w:sz w:val="14"/>
                <w:szCs w:val="14"/>
              </w:rPr>
              <w:t>ões</w:t>
            </w:r>
            <w:proofErr w:type="spellEnd"/>
            <w:r w:rsidRPr="00A2558C">
              <w:rPr>
                <w:rFonts w:eastAsia="Times New Roman"/>
                <w:sz w:val="14"/>
                <w:szCs w:val="14"/>
              </w:rPr>
              <w:t>) do(a) Prefeito(a) Municipal.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DF34" w14:textId="7586AA3E" w:rsidR="00484852" w:rsidRPr="00A2558C" w:rsidRDefault="00484852" w:rsidP="00D86DC9">
            <w:pPr>
              <w:spacing w:after="0"/>
              <w:ind w:firstLine="0"/>
              <w:textAlignment w:val="baseline"/>
              <w:rPr>
                <w:rFonts w:eastAsia="Times New Roman"/>
                <w:sz w:val="14"/>
                <w:szCs w:val="14"/>
              </w:rPr>
            </w:pPr>
            <w:r w:rsidRPr="00A2558C">
              <w:rPr>
                <w:rFonts w:eastAsia="Times New Roman"/>
                <w:sz w:val="14"/>
                <w:szCs w:val="14"/>
              </w:rPr>
              <w:t>Reincidência de vetor (independente se vetor 1, 2 ou 3) durante a(s) gestão(</w:t>
            </w:r>
            <w:proofErr w:type="spellStart"/>
            <w:r w:rsidRPr="00A2558C">
              <w:rPr>
                <w:rFonts w:eastAsia="Times New Roman"/>
                <w:sz w:val="14"/>
                <w:szCs w:val="14"/>
              </w:rPr>
              <w:t>ões</w:t>
            </w:r>
            <w:proofErr w:type="spellEnd"/>
            <w:r w:rsidRPr="00A2558C">
              <w:rPr>
                <w:rFonts w:eastAsia="Times New Roman"/>
                <w:sz w:val="14"/>
                <w:szCs w:val="14"/>
              </w:rPr>
              <w:t>) do(a) Prefeito(a) Municipal</w:t>
            </w:r>
          </w:p>
        </w:tc>
      </w:tr>
    </w:tbl>
    <w:p w14:paraId="11A936DB" w14:textId="77777777" w:rsidR="00484852" w:rsidRDefault="00484852" w:rsidP="00026E3E">
      <w:pPr>
        <w:spacing w:after="0"/>
        <w:textAlignment w:val="baseline"/>
        <w:rPr>
          <w:rFonts w:eastAsia="Times New Roman"/>
          <w:sz w:val="20"/>
          <w:szCs w:val="20"/>
        </w:rPr>
      </w:pPr>
    </w:p>
    <w:sectPr w:rsidR="00484852" w:rsidSect="009F5417">
      <w:headerReference w:type="default" r:id="rId28"/>
      <w:footerReference w:type="default" r:id="rId29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4CF39" w14:textId="77777777" w:rsidR="009F5417" w:rsidRDefault="009F5417" w:rsidP="003B614C">
      <w:r>
        <w:separator/>
      </w:r>
    </w:p>
  </w:endnote>
  <w:endnote w:type="continuationSeparator" w:id="0">
    <w:p w14:paraId="3D6DD617" w14:textId="77777777" w:rsidR="009F5417" w:rsidRDefault="009F5417" w:rsidP="003B614C">
      <w:r>
        <w:continuationSeparator/>
      </w:r>
    </w:p>
  </w:endnote>
  <w:endnote w:type="continuationNotice" w:id="1">
    <w:p w14:paraId="558EC856" w14:textId="77777777" w:rsidR="009F5417" w:rsidRDefault="009F541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958B9" w14:textId="7469FE31" w:rsidR="008B6131" w:rsidRDefault="008B6131">
    <w:pPr>
      <w:pStyle w:val="Rodap"/>
      <w:jc w:val="right"/>
    </w:pPr>
  </w:p>
  <w:p w14:paraId="70AD6847" w14:textId="77777777" w:rsidR="007B0609" w:rsidRPr="002849AF" w:rsidRDefault="007B0609" w:rsidP="00F220CA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23A00" w14:textId="77777777" w:rsidR="009F5417" w:rsidRDefault="009F5417" w:rsidP="005540F0">
      <w:pPr>
        <w:ind w:firstLine="0"/>
      </w:pPr>
      <w:r>
        <w:separator/>
      </w:r>
    </w:p>
  </w:footnote>
  <w:footnote w:type="continuationSeparator" w:id="0">
    <w:p w14:paraId="534C5D65" w14:textId="77777777" w:rsidR="009F5417" w:rsidRDefault="009F5417" w:rsidP="003B614C">
      <w:r>
        <w:continuationSeparator/>
      </w:r>
    </w:p>
  </w:footnote>
  <w:footnote w:type="continuationNotice" w:id="1">
    <w:p w14:paraId="496B2062" w14:textId="77777777" w:rsidR="009F5417" w:rsidRDefault="009F5417">
      <w:pPr>
        <w:spacing w:before="0" w:after="0"/>
      </w:pPr>
    </w:p>
  </w:footnote>
  <w:footnote w:id="2">
    <w:p w14:paraId="2D4BE26E" w14:textId="77777777" w:rsidR="004F523D" w:rsidRPr="004F523D" w:rsidRDefault="00BE44CA" w:rsidP="004F523D">
      <w:pPr>
        <w:pStyle w:val="Textodenotaderodap"/>
        <w:spacing w:before="0" w:after="0"/>
        <w:ind w:firstLine="0"/>
        <w:rPr>
          <w:rFonts w:cs="Arial"/>
        </w:rPr>
      </w:pPr>
      <w:r w:rsidRPr="004F523D">
        <w:rPr>
          <w:rStyle w:val="Refdenotaderodap"/>
          <w:rFonts w:cs="Arial"/>
        </w:rPr>
        <w:footnoteRef/>
      </w:r>
      <w:r w:rsidRPr="004F523D">
        <w:rPr>
          <w:rFonts w:cs="Arial"/>
        </w:rPr>
        <w:t xml:space="preserve"> </w:t>
      </w:r>
      <w:bookmarkStart w:id="0" w:name="_Hlk37068492"/>
      <w:r w:rsidR="004F523D" w:rsidRPr="004F523D">
        <w:rPr>
          <w:rFonts w:cs="Arial"/>
          <w:b/>
        </w:rPr>
        <w:t>Notas da Biblioteca:</w:t>
      </w:r>
    </w:p>
    <w:bookmarkEnd w:id="0"/>
    <w:p w14:paraId="36DD3C8E" w14:textId="77777777" w:rsidR="00396B27" w:rsidRPr="00F44A4F" w:rsidRDefault="00396B27">
      <w:pPr>
        <w:numPr>
          <w:ilvl w:val="0"/>
          <w:numId w:val="5"/>
        </w:numPr>
        <w:spacing w:before="0" w:after="0"/>
        <w:ind w:left="284" w:hanging="284"/>
        <w:rPr>
          <w:rFonts w:cs="Arial"/>
          <w:sz w:val="20"/>
          <w:szCs w:val="20"/>
        </w:rPr>
      </w:pPr>
      <w:r w:rsidRPr="00F44A4F">
        <w:rPr>
          <w:rFonts w:cs="Arial"/>
          <w:sz w:val="20"/>
          <w:szCs w:val="20"/>
        </w:rPr>
        <w:t xml:space="preserve">Este texto não substitui o publicado no periódico: </w:t>
      </w:r>
      <w:hyperlink r:id="rId1" w:history="1">
        <w:r w:rsidRPr="00F44A4F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Paraná, </w:t>
        </w:r>
        <w:r w:rsidRPr="00F44A4F">
          <w:rPr>
            <w:rStyle w:val="Hyperlink"/>
            <w:rFonts w:cs="Arial"/>
            <w:sz w:val="20"/>
            <w:szCs w:val="20"/>
          </w:rPr>
          <w:t>Curitiba, PR, n. 2790, 12 jul. 2022, p. 24-26</w:t>
        </w:r>
      </w:hyperlink>
      <w:r w:rsidRPr="00F44A4F">
        <w:rPr>
          <w:rFonts w:cs="Arial"/>
          <w:sz w:val="20"/>
          <w:szCs w:val="20"/>
        </w:rPr>
        <w:t>.</w:t>
      </w:r>
    </w:p>
    <w:p w14:paraId="6068DE23" w14:textId="00A56D66" w:rsidR="00396B27" w:rsidRDefault="00396B27">
      <w:pPr>
        <w:pStyle w:val="Textodenotaderodap"/>
        <w:numPr>
          <w:ilvl w:val="0"/>
          <w:numId w:val="5"/>
        </w:numPr>
        <w:spacing w:before="0" w:after="0"/>
        <w:ind w:left="284" w:hanging="284"/>
        <w:rPr>
          <w:rFonts w:cs="Arial"/>
        </w:rPr>
      </w:pPr>
      <w:r w:rsidRPr="00F44A4F">
        <w:rPr>
          <w:rFonts w:cs="Arial"/>
        </w:rPr>
        <w:t>Origem: Processo n. 341150/2022 –</w:t>
      </w:r>
      <w:hyperlink r:id="rId2" w:history="1">
        <w:r w:rsidRPr="00354317">
          <w:rPr>
            <w:rStyle w:val="Hyperlink"/>
            <w:rFonts w:cs="Arial"/>
          </w:rPr>
          <w:t xml:space="preserve"> Acórdão n. 1.171/2022 - Tribunal Pleno</w:t>
        </w:r>
      </w:hyperlink>
      <w:r w:rsidRPr="00F44A4F">
        <w:rPr>
          <w:rFonts w:cs="Arial"/>
        </w:rPr>
        <w:t>.</w:t>
      </w:r>
    </w:p>
    <w:p w14:paraId="5F0B8B47" w14:textId="221B9751" w:rsidR="00467EDC" w:rsidRPr="00467EDC" w:rsidRDefault="00354317" w:rsidP="00467EDC">
      <w:pPr>
        <w:pStyle w:val="Textodenotaderodap"/>
        <w:numPr>
          <w:ilvl w:val="0"/>
          <w:numId w:val="5"/>
        </w:numPr>
        <w:spacing w:before="0" w:after="0"/>
        <w:ind w:left="284" w:hanging="284"/>
        <w:rPr>
          <w:rFonts w:cs="Arial"/>
        </w:rPr>
      </w:pPr>
      <w:r w:rsidRPr="00FA705F">
        <w:rPr>
          <w:rFonts w:cs="Arial"/>
        </w:rPr>
        <w:t xml:space="preserve">Alterada por: </w:t>
      </w:r>
      <w:hyperlink r:id="rId3" w:history="1">
        <w:r w:rsidRPr="00FA705F">
          <w:rPr>
            <w:rStyle w:val="Hyperlink"/>
            <w:rFonts w:cs="Arial"/>
          </w:rPr>
          <w:t xml:space="preserve">Instrução Normativa n. </w:t>
        </w:r>
        <w:r w:rsidR="001026B8" w:rsidRPr="00FA705F">
          <w:rPr>
            <w:rStyle w:val="Hyperlink"/>
            <w:rFonts w:cs="Arial"/>
          </w:rPr>
          <w:t>1</w:t>
        </w:r>
        <w:r w:rsidRPr="00FA705F">
          <w:rPr>
            <w:rStyle w:val="Hyperlink"/>
            <w:rFonts w:cs="Arial"/>
          </w:rPr>
          <w:t>85</w:t>
        </w:r>
        <w:r w:rsidR="00FA705F">
          <w:rPr>
            <w:rStyle w:val="Hyperlink"/>
            <w:rFonts w:cs="Arial"/>
          </w:rPr>
          <w:t xml:space="preserve"> </w:t>
        </w:r>
        <w:r w:rsidRPr="00FA705F">
          <w:rPr>
            <w:rStyle w:val="Hyperlink"/>
            <w:rFonts w:cs="Arial"/>
          </w:rPr>
          <w:t>, de 10 de abril de 2024.</w:t>
        </w:r>
      </w:hyperlink>
      <w:r w:rsidR="00467EDC">
        <w:rPr>
          <w:rStyle w:val="Hyperlink"/>
          <w:rFonts w:cs="Arial"/>
          <w:color w:val="auto"/>
          <w:u w:val="none"/>
        </w:rPr>
        <w:t xml:space="preserve"> </w:t>
      </w:r>
      <w:hyperlink r:id="rId4" w:history="1">
        <w:r w:rsidR="00467EDC" w:rsidRPr="00A043A4">
          <w:rPr>
            <w:rStyle w:val="Hyperlink"/>
            <w:rFonts w:cs="Arial"/>
          </w:rPr>
          <w:t>Instrução Normativa n. 188, de 6 de novembro de 2024.</w:t>
        </w:r>
      </w:hyperlink>
    </w:p>
    <w:p w14:paraId="0C73D4C8" w14:textId="77777777" w:rsidR="00F44A4F" w:rsidRPr="00F44A4F" w:rsidRDefault="00F44A4F">
      <w:pPr>
        <w:pStyle w:val="NormalWeb"/>
        <w:numPr>
          <w:ilvl w:val="0"/>
          <w:numId w:val="5"/>
        </w:numPr>
        <w:spacing w:before="0" w:beforeAutospacing="0" w:after="0" w:afterAutospacing="0"/>
        <w:ind w:left="284" w:hanging="284"/>
        <w:rPr>
          <w:rFonts w:ascii="Arial" w:hAnsi="Arial" w:cs="Arial"/>
          <w:color w:val="545454"/>
          <w:sz w:val="20"/>
          <w:szCs w:val="20"/>
        </w:rPr>
      </w:pPr>
      <w:r w:rsidRPr="00F44A4F">
        <w:rPr>
          <w:rStyle w:val="Forte"/>
          <w:rFonts w:cs="Arial"/>
          <w:color w:val="545454"/>
          <w:sz w:val="20"/>
          <w:szCs w:val="20"/>
        </w:rPr>
        <w:t>Ver:</w:t>
      </w:r>
    </w:p>
    <w:p w14:paraId="52B6AE1C" w14:textId="77777777" w:rsidR="00F44A4F" w:rsidRPr="00F44A4F" w:rsidRDefault="00F44A4F" w:rsidP="00F44A4F">
      <w:pPr>
        <w:pStyle w:val="NormalWeb"/>
        <w:spacing w:before="0" w:beforeAutospacing="0" w:after="0" w:afterAutospacing="0"/>
        <w:ind w:left="720" w:hanging="436"/>
        <w:rPr>
          <w:rFonts w:ascii="Arial" w:hAnsi="Arial" w:cs="Arial"/>
          <w:color w:val="0000FF"/>
          <w:sz w:val="20"/>
          <w:szCs w:val="20"/>
        </w:rPr>
      </w:pPr>
      <w:hyperlink r:id="rId5" w:history="1">
        <w:r w:rsidRPr="00F44A4F">
          <w:rPr>
            <w:rStyle w:val="Hyperlink"/>
            <w:rFonts w:ascii="Arial" w:hAnsi="Arial" w:cs="Arial"/>
            <w:sz w:val="20"/>
            <w:szCs w:val="20"/>
          </w:rPr>
          <w:t>Nota Técnica n. 13, de 12 de julho de 2022 - CGF.</w:t>
        </w:r>
      </w:hyperlink>
      <w:r w:rsidRPr="00F44A4F">
        <w:rPr>
          <w:rFonts w:ascii="Arial" w:hAnsi="Arial" w:cs="Arial"/>
          <w:color w:val="0000FF"/>
          <w:sz w:val="20"/>
          <w:szCs w:val="20"/>
        </w:rPr>
        <w:t>   </w:t>
      </w:r>
    </w:p>
    <w:p w14:paraId="45423D84" w14:textId="77777777" w:rsidR="00F44A4F" w:rsidRPr="00F44A4F" w:rsidRDefault="00F44A4F" w:rsidP="00F44A4F">
      <w:pPr>
        <w:pStyle w:val="NormalWeb"/>
        <w:spacing w:before="0" w:beforeAutospacing="0" w:after="0" w:afterAutospacing="0"/>
        <w:ind w:left="720" w:hanging="436"/>
        <w:rPr>
          <w:rFonts w:ascii="Arial" w:hAnsi="Arial" w:cs="Arial"/>
          <w:color w:val="0000FF"/>
          <w:sz w:val="20"/>
          <w:szCs w:val="20"/>
        </w:rPr>
      </w:pPr>
      <w:hyperlink r:id="rId6" w:history="1">
        <w:r w:rsidRPr="00F44A4F">
          <w:rPr>
            <w:rStyle w:val="Hyperlink"/>
            <w:rFonts w:ascii="Arial" w:hAnsi="Arial" w:cs="Arial"/>
            <w:sz w:val="20"/>
            <w:szCs w:val="20"/>
          </w:rPr>
          <w:t>Nota Técnica n. 15, de 19 de julho de 2022 - CGF</w:t>
        </w:r>
      </w:hyperlink>
      <w:r w:rsidRPr="00F44A4F">
        <w:rPr>
          <w:rFonts w:ascii="Arial" w:hAnsi="Arial" w:cs="Arial"/>
          <w:color w:val="0000FF"/>
          <w:sz w:val="20"/>
          <w:szCs w:val="20"/>
        </w:rPr>
        <w:t>.</w:t>
      </w:r>
    </w:p>
    <w:p w14:paraId="193EC686" w14:textId="77777777" w:rsidR="00F44A4F" w:rsidRPr="00F44A4F" w:rsidRDefault="00F44A4F" w:rsidP="00F44A4F">
      <w:pPr>
        <w:pStyle w:val="NormalWeb"/>
        <w:spacing w:before="0" w:beforeAutospacing="0" w:after="0" w:afterAutospacing="0"/>
        <w:ind w:left="720" w:hanging="436"/>
        <w:rPr>
          <w:rFonts w:ascii="Arial" w:hAnsi="Arial" w:cs="Arial"/>
          <w:color w:val="0000FF"/>
          <w:sz w:val="20"/>
          <w:szCs w:val="20"/>
        </w:rPr>
      </w:pPr>
      <w:hyperlink r:id="rId7" w:history="1">
        <w:r w:rsidRPr="00F44A4F">
          <w:rPr>
            <w:rStyle w:val="Hyperlink"/>
            <w:rFonts w:ascii="Arial" w:hAnsi="Arial" w:cs="Arial"/>
            <w:sz w:val="20"/>
            <w:szCs w:val="20"/>
          </w:rPr>
          <w:t>Nota Técnica n. 16, de 19 de julho de 2022 - CGF</w:t>
        </w:r>
      </w:hyperlink>
      <w:r w:rsidRPr="00F44A4F">
        <w:rPr>
          <w:rFonts w:ascii="Arial" w:hAnsi="Arial" w:cs="Arial"/>
          <w:color w:val="0000FF"/>
          <w:sz w:val="20"/>
          <w:szCs w:val="20"/>
        </w:rPr>
        <w:t>. </w:t>
      </w:r>
    </w:p>
    <w:p w14:paraId="321EDAA7" w14:textId="77777777" w:rsidR="00396B27" w:rsidRPr="00F44A4F" w:rsidRDefault="00396B27">
      <w:pPr>
        <w:pStyle w:val="Textodenotaderodap"/>
        <w:numPr>
          <w:ilvl w:val="0"/>
          <w:numId w:val="5"/>
        </w:numPr>
        <w:spacing w:before="0" w:after="0"/>
        <w:ind w:left="284" w:hanging="284"/>
        <w:rPr>
          <w:rFonts w:cs="Arial"/>
          <w:b/>
          <w:bCs/>
        </w:rPr>
      </w:pPr>
      <w:r w:rsidRPr="00F44A4F">
        <w:rPr>
          <w:rFonts w:cs="Arial"/>
          <w:b/>
          <w:bCs/>
        </w:rPr>
        <w:t>Ver também:</w:t>
      </w:r>
    </w:p>
    <w:p w14:paraId="64B70EC2" w14:textId="77777777" w:rsidR="00396B27" w:rsidRPr="00F44A4F" w:rsidRDefault="00396B27" w:rsidP="00F44A4F">
      <w:pPr>
        <w:spacing w:before="0" w:after="0"/>
        <w:ind w:firstLine="284"/>
        <w:rPr>
          <w:rFonts w:cs="Arial"/>
          <w:sz w:val="20"/>
          <w:szCs w:val="20"/>
        </w:rPr>
      </w:pPr>
      <w:hyperlink r:id="rId8" w:history="1">
        <w:r w:rsidRPr="00F44A4F">
          <w:rPr>
            <w:rStyle w:val="Hyperlink"/>
            <w:rFonts w:cs="Arial"/>
            <w:sz w:val="20"/>
            <w:szCs w:val="20"/>
          </w:rPr>
          <w:t>Instrução Normativa n. 58, de 9 de junho de 2011</w:t>
        </w:r>
      </w:hyperlink>
      <w:r w:rsidRPr="00F44A4F">
        <w:rPr>
          <w:rFonts w:cs="Arial"/>
          <w:sz w:val="20"/>
          <w:szCs w:val="20"/>
        </w:rPr>
        <w:t>.</w:t>
      </w:r>
    </w:p>
    <w:p w14:paraId="5DBE1D5D" w14:textId="77777777" w:rsidR="00396B27" w:rsidRPr="00F44A4F" w:rsidRDefault="00396B27" w:rsidP="00F44A4F">
      <w:pPr>
        <w:spacing w:before="0" w:after="0"/>
        <w:ind w:firstLine="284"/>
        <w:rPr>
          <w:rFonts w:cs="Arial"/>
          <w:sz w:val="20"/>
          <w:szCs w:val="20"/>
        </w:rPr>
      </w:pPr>
      <w:hyperlink r:id="rId9" w:history="1">
        <w:r w:rsidRPr="00F44A4F">
          <w:rPr>
            <w:rStyle w:val="Hyperlink"/>
            <w:rFonts w:cs="Arial"/>
            <w:sz w:val="20"/>
            <w:szCs w:val="20"/>
          </w:rPr>
          <w:t>Instrução Normativa n. 62, de 15 de dezembro de 2011</w:t>
        </w:r>
      </w:hyperlink>
      <w:r w:rsidRPr="00F44A4F">
        <w:rPr>
          <w:rFonts w:cs="Arial"/>
          <w:sz w:val="20"/>
          <w:szCs w:val="20"/>
        </w:rPr>
        <w:t>.</w:t>
      </w:r>
    </w:p>
    <w:p w14:paraId="61796069" w14:textId="77777777" w:rsidR="00396B27" w:rsidRPr="00F44A4F" w:rsidRDefault="00396B27" w:rsidP="00F44A4F">
      <w:pPr>
        <w:spacing w:before="0" w:after="0"/>
        <w:ind w:firstLine="284"/>
        <w:rPr>
          <w:rFonts w:cs="Arial"/>
          <w:sz w:val="20"/>
          <w:szCs w:val="20"/>
        </w:rPr>
      </w:pPr>
      <w:hyperlink r:id="rId10" w:history="1">
        <w:r w:rsidRPr="00F44A4F">
          <w:rPr>
            <w:rStyle w:val="Hyperlink"/>
            <w:rFonts w:cs="Arial"/>
            <w:sz w:val="20"/>
            <w:szCs w:val="20"/>
          </w:rPr>
          <w:t>Instrução Normativa n. 86, de 20 de dezembro de 2012</w:t>
        </w:r>
      </w:hyperlink>
      <w:r w:rsidRPr="00F44A4F">
        <w:rPr>
          <w:rFonts w:cs="Arial"/>
          <w:sz w:val="20"/>
          <w:szCs w:val="20"/>
        </w:rPr>
        <w:t>.</w:t>
      </w:r>
    </w:p>
    <w:p w14:paraId="08747E01" w14:textId="77777777" w:rsidR="00396B27" w:rsidRPr="00F44A4F" w:rsidRDefault="00396B27" w:rsidP="00F44A4F">
      <w:pPr>
        <w:spacing w:before="0" w:after="0"/>
        <w:ind w:firstLine="284"/>
        <w:rPr>
          <w:rFonts w:cs="Arial"/>
          <w:sz w:val="20"/>
          <w:szCs w:val="20"/>
        </w:rPr>
      </w:pPr>
      <w:hyperlink r:id="rId11" w:history="1">
        <w:r w:rsidRPr="00F44A4F">
          <w:rPr>
            <w:rStyle w:val="Hyperlink"/>
            <w:rFonts w:cs="Arial"/>
            <w:sz w:val="20"/>
            <w:szCs w:val="20"/>
          </w:rPr>
          <w:t>Instrução Normativa n. 170, de 13 de janeiro de 2022</w:t>
        </w:r>
      </w:hyperlink>
      <w:r w:rsidRPr="00F44A4F">
        <w:rPr>
          <w:rFonts w:cs="Arial"/>
          <w:sz w:val="20"/>
          <w:szCs w:val="20"/>
        </w:rPr>
        <w:t>.</w:t>
      </w:r>
    </w:p>
    <w:p w14:paraId="7D2305EF" w14:textId="55C0FC53" w:rsidR="00BE44CA" w:rsidRPr="00396B27" w:rsidRDefault="00396B27" w:rsidP="00F44A4F">
      <w:pPr>
        <w:spacing w:before="0" w:after="0"/>
        <w:ind w:firstLine="284"/>
        <w:rPr>
          <w:rFonts w:cs="Arial"/>
          <w:sz w:val="18"/>
          <w:szCs w:val="18"/>
        </w:rPr>
      </w:pPr>
      <w:hyperlink r:id="rId12" w:history="1">
        <w:r w:rsidRPr="00F44A4F">
          <w:rPr>
            <w:rStyle w:val="Hyperlink"/>
            <w:rFonts w:cs="Arial"/>
            <w:sz w:val="20"/>
            <w:szCs w:val="20"/>
          </w:rPr>
          <w:t>Instrução de Serviço n. 27, de 3 de outubro de 2011</w:t>
        </w:r>
      </w:hyperlink>
      <w:r w:rsidRPr="00F44A4F">
        <w:rPr>
          <w:rFonts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299BD" w14:textId="7A9E22DE" w:rsidR="007B0609" w:rsidRDefault="00596FCE" w:rsidP="00E7605B">
    <w:pPr>
      <w:keepLines/>
      <w:spacing w:before="240" w:after="0"/>
      <w:jc w:val="center"/>
      <w:rPr>
        <w:rFonts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ECAB47E" wp14:editId="6680EA01">
          <wp:simplePos x="0" y="0"/>
          <wp:positionH relativeFrom="column">
            <wp:posOffset>1905</wp:posOffset>
          </wp:positionH>
          <wp:positionV relativeFrom="paragraph">
            <wp:posOffset>-6985</wp:posOffset>
          </wp:positionV>
          <wp:extent cx="559435" cy="655320"/>
          <wp:effectExtent l="0" t="0" r="0" b="0"/>
          <wp:wrapNone/>
          <wp:docPr id="1" name="Imagem 1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609" w:rsidRPr="5ABE5206">
      <w:rPr>
        <w:rFonts w:cs="Arial"/>
        <w:b/>
        <w:bCs/>
        <w:sz w:val="28"/>
        <w:szCs w:val="28"/>
      </w:rPr>
      <w:t>TRIBUNAL DE CONTAS DO ESTADO DO PARANÁ</w:t>
    </w:r>
  </w:p>
  <w:p w14:paraId="4190A5DA" w14:textId="77777777" w:rsidR="00A04348" w:rsidRDefault="00A04348" w:rsidP="00A04348">
    <w:pPr>
      <w:keepLines/>
      <w:spacing w:after="240"/>
      <w:jc w:val="center"/>
      <w:rPr>
        <w:rFonts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65D3"/>
    <w:multiLevelType w:val="hybridMultilevel"/>
    <w:tmpl w:val="8D98AB8E"/>
    <w:lvl w:ilvl="0" w:tplc="45E256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hint="default"/>
        <w:b/>
        <w:bCs/>
        <w:i w:val="0"/>
        <w:iCs w:val="0"/>
        <w:strike w:val="0"/>
        <w:color w:val="auto"/>
        <w:sz w:val="24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hint="default"/>
        <w:b w:val="0"/>
        <w:bCs w:val="0"/>
        <w:i w:val="0"/>
        <w:iCs w:val="0"/>
        <w:strike w:val="0"/>
        <w:color w:val="000000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rFonts w:hint="default"/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3" w15:restartNumberingAfterBreak="0">
    <w:nsid w:val="292C46D8"/>
    <w:multiLevelType w:val="hybridMultilevel"/>
    <w:tmpl w:val="0A1AF446"/>
    <w:lvl w:ilvl="0" w:tplc="A2FC3B8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3804273B"/>
    <w:multiLevelType w:val="multilevel"/>
    <w:tmpl w:val="52A64330"/>
    <w:styleLink w:val="Estilo1"/>
    <w:lvl w:ilvl="0">
      <w:start w:val="1"/>
      <w:numFmt w:val="decimal"/>
      <w:lvlText w:val="Art. 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5866CE"/>
    <w:multiLevelType w:val="multilevel"/>
    <w:tmpl w:val="E28E0A7E"/>
    <w:lvl w:ilvl="0">
      <w:start w:val="1"/>
      <w:numFmt w:val="decimal"/>
      <w:pStyle w:val="Artigo"/>
      <w:lvlText w:val="Art. %1."/>
      <w:lvlJc w:val="left"/>
      <w:pPr>
        <w:ind w:left="5464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pStyle w:val="Pargrafo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pStyle w:val="Inciso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71093018">
    <w:abstractNumId w:val="1"/>
  </w:num>
  <w:num w:numId="2" w16cid:durableId="330375466">
    <w:abstractNumId w:val="4"/>
  </w:num>
  <w:num w:numId="3" w16cid:durableId="166412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990534">
    <w:abstractNumId w:val="2"/>
  </w:num>
  <w:num w:numId="5" w16cid:durableId="920219970">
    <w:abstractNumId w:val="0"/>
  </w:num>
  <w:num w:numId="6" w16cid:durableId="1574319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6B"/>
    <w:rsid w:val="000012F9"/>
    <w:rsid w:val="000024CF"/>
    <w:rsid w:val="00002B2D"/>
    <w:rsid w:val="00002B6E"/>
    <w:rsid w:val="00003322"/>
    <w:rsid w:val="00005717"/>
    <w:rsid w:val="00005D96"/>
    <w:rsid w:val="00006250"/>
    <w:rsid w:val="000077B2"/>
    <w:rsid w:val="0001161A"/>
    <w:rsid w:val="00011746"/>
    <w:rsid w:val="00012042"/>
    <w:rsid w:val="00012D1B"/>
    <w:rsid w:val="00013053"/>
    <w:rsid w:val="00013C96"/>
    <w:rsid w:val="00013FD4"/>
    <w:rsid w:val="000140B4"/>
    <w:rsid w:val="00014E31"/>
    <w:rsid w:val="00015D58"/>
    <w:rsid w:val="00017733"/>
    <w:rsid w:val="00017806"/>
    <w:rsid w:val="00017BA5"/>
    <w:rsid w:val="000219B4"/>
    <w:rsid w:val="0002252E"/>
    <w:rsid w:val="000228E8"/>
    <w:rsid w:val="00022A02"/>
    <w:rsid w:val="00023718"/>
    <w:rsid w:val="000237FB"/>
    <w:rsid w:val="00023EE4"/>
    <w:rsid w:val="00024DEB"/>
    <w:rsid w:val="00025AFA"/>
    <w:rsid w:val="00026249"/>
    <w:rsid w:val="00026550"/>
    <w:rsid w:val="00026E3E"/>
    <w:rsid w:val="00027364"/>
    <w:rsid w:val="0003006C"/>
    <w:rsid w:val="00030715"/>
    <w:rsid w:val="000330A8"/>
    <w:rsid w:val="000348B5"/>
    <w:rsid w:val="0003587D"/>
    <w:rsid w:val="0003640A"/>
    <w:rsid w:val="000371DE"/>
    <w:rsid w:val="00037761"/>
    <w:rsid w:val="000409A0"/>
    <w:rsid w:val="00041D4F"/>
    <w:rsid w:val="00043505"/>
    <w:rsid w:val="000442C7"/>
    <w:rsid w:val="00044AF9"/>
    <w:rsid w:val="00044E2E"/>
    <w:rsid w:val="00044EDD"/>
    <w:rsid w:val="00045205"/>
    <w:rsid w:val="00046304"/>
    <w:rsid w:val="000466B5"/>
    <w:rsid w:val="00047FD7"/>
    <w:rsid w:val="000527C0"/>
    <w:rsid w:val="000536BA"/>
    <w:rsid w:val="00053C62"/>
    <w:rsid w:val="00054840"/>
    <w:rsid w:val="00055868"/>
    <w:rsid w:val="00056296"/>
    <w:rsid w:val="00057DEA"/>
    <w:rsid w:val="000617DA"/>
    <w:rsid w:val="000625B7"/>
    <w:rsid w:val="00063F56"/>
    <w:rsid w:val="00064345"/>
    <w:rsid w:val="000643DF"/>
    <w:rsid w:val="00064806"/>
    <w:rsid w:val="000658DA"/>
    <w:rsid w:val="00065AF8"/>
    <w:rsid w:val="000662D3"/>
    <w:rsid w:val="00066CF5"/>
    <w:rsid w:val="00072059"/>
    <w:rsid w:val="000725C3"/>
    <w:rsid w:val="0007339F"/>
    <w:rsid w:val="00073462"/>
    <w:rsid w:val="00073EAB"/>
    <w:rsid w:val="0007444B"/>
    <w:rsid w:val="0007450C"/>
    <w:rsid w:val="00075367"/>
    <w:rsid w:val="00075F35"/>
    <w:rsid w:val="00077CE6"/>
    <w:rsid w:val="00081347"/>
    <w:rsid w:val="00081797"/>
    <w:rsid w:val="0008181A"/>
    <w:rsid w:val="000831F1"/>
    <w:rsid w:val="00084CCC"/>
    <w:rsid w:val="00085024"/>
    <w:rsid w:val="00085688"/>
    <w:rsid w:val="0009085E"/>
    <w:rsid w:val="00090924"/>
    <w:rsid w:val="00091F5A"/>
    <w:rsid w:val="0009415D"/>
    <w:rsid w:val="00095268"/>
    <w:rsid w:val="00095829"/>
    <w:rsid w:val="00095BC4"/>
    <w:rsid w:val="00095ED2"/>
    <w:rsid w:val="000967EC"/>
    <w:rsid w:val="000A034C"/>
    <w:rsid w:val="000A1BBE"/>
    <w:rsid w:val="000A3F6E"/>
    <w:rsid w:val="000A425C"/>
    <w:rsid w:val="000A42F8"/>
    <w:rsid w:val="000A48B1"/>
    <w:rsid w:val="000A6DC8"/>
    <w:rsid w:val="000A703A"/>
    <w:rsid w:val="000A7D5C"/>
    <w:rsid w:val="000B0D14"/>
    <w:rsid w:val="000B1B59"/>
    <w:rsid w:val="000B2957"/>
    <w:rsid w:val="000B2B88"/>
    <w:rsid w:val="000B2C75"/>
    <w:rsid w:val="000B2DD9"/>
    <w:rsid w:val="000B2ED7"/>
    <w:rsid w:val="000B34C1"/>
    <w:rsid w:val="000B3BAA"/>
    <w:rsid w:val="000B3E55"/>
    <w:rsid w:val="000B3E9D"/>
    <w:rsid w:val="000B5152"/>
    <w:rsid w:val="000B64A5"/>
    <w:rsid w:val="000B6807"/>
    <w:rsid w:val="000B6A3E"/>
    <w:rsid w:val="000B741C"/>
    <w:rsid w:val="000B7690"/>
    <w:rsid w:val="000B7F6B"/>
    <w:rsid w:val="000C1702"/>
    <w:rsid w:val="000C1C51"/>
    <w:rsid w:val="000C2601"/>
    <w:rsid w:val="000C35E4"/>
    <w:rsid w:val="000C3F50"/>
    <w:rsid w:val="000C4079"/>
    <w:rsid w:val="000C5C09"/>
    <w:rsid w:val="000C6755"/>
    <w:rsid w:val="000C7524"/>
    <w:rsid w:val="000C7F52"/>
    <w:rsid w:val="000D0176"/>
    <w:rsid w:val="000D02B6"/>
    <w:rsid w:val="000D222E"/>
    <w:rsid w:val="000D25AD"/>
    <w:rsid w:val="000D3B39"/>
    <w:rsid w:val="000D3C7F"/>
    <w:rsid w:val="000D457B"/>
    <w:rsid w:val="000D4851"/>
    <w:rsid w:val="000D6398"/>
    <w:rsid w:val="000D6515"/>
    <w:rsid w:val="000D7748"/>
    <w:rsid w:val="000E0143"/>
    <w:rsid w:val="000E0B16"/>
    <w:rsid w:val="000E0D5E"/>
    <w:rsid w:val="000E1366"/>
    <w:rsid w:val="000E17F9"/>
    <w:rsid w:val="000E1C49"/>
    <w:rsid w:val="000E6137"/>
    <w:rsid w:val="000E6D71"/>
    <w:rsid w:val="000E7952"/>
    <w:rsid w:val="000F0D0F"/>
    <w:rsid w:val="000F13C3"/>
    <w:rsid w:val="000F19AD"/>
    <w:rsid w:val="000F221D"/>
    <w:rsid w:val="000F3A78"/>
    <w:rsid w:val="000F4034"/>
    <w:rsid w:val="000F55B3"/>
    <w:rsid w:val="000F5BB7"/>
    <w:rsid w:val="000F5FC8"/>
    <w:rsid w:val="000F7021"/>
    <w:rsid w:val="001014FD"/>
    <w:rsid w:val="001025BE"/>
    <w:rsid w:val="001026B8"/>
    <w:rsid w:val="00102FC9"/>
    <w:rsid w:val="001041D8"/>
    <w:rsid w:val="0010486B"/>
    <w:rsid w:val="00104EA5"/>
    <w:rsid w:val="00106CFF"/>
    <w:rsid w:val="0010751A"/>
    <w:rsid w:val="001100C8"/>
    <w:rsid w:val="00110875"/>
    <w:rsid w:val="00110C5F"/>
    <w:rsid w:val="001114EB"/>
    <w:rsid w:val="00111DBE"/>
    <w:rsid w:val="00113FBC"/>
    <w:rsid w:val="00114533"/>
    <w:rsid w:val="00114E53"/>
    <w:rsid w:val="00115633"/>
    <w:rsid w:val="00115C1C"/>
    <w:rsid w:val="001224A6"/>
    <w:rsid w:val="00122997"/>
    <w:rsid w:val="00122D54"/>
    <w:rsid w:val="00122D8B"/>
    <w:rsid w:val="00124BC7"/>
    <w:rsid w:val="001269A0"/>
    <w:rsid w:val="00126A07"/>
    <w:rsid w:val="00130D99"/>
    <w:rsid w:val="00132C65"/>
    <w:rsid w:val="00132C79"/>
    <w:rsid w:val="00132FAF"/>
    <w:rsid w:val="00134541"/>
    <w:rsid w:val="00134BCC"/>
    <w:rsid w:val="001357AA"/>
    <w:rsid w:val="00135C6D"/>
    <w:rsid w:val="0013729B"/>
    <w:rsid w:val="0013766B"/>
    <w:rsid w:val="00141423"/>
    <w:rsid w:val="001415FB"/>
    <w:rsid w:val="00141657"/>
    <w:rsid w:val="0014249D"/>
    <w:rsid w:val="00143266"/>
    <w:rsid w:val="001457FA"/>
    <w:rsid w:val="001464D4"/>
    <w:rsid w:val="00146A7F"/>
    <w:rsid w:val="00146AFA"/>
    <w:rsid w:val="00146B28"/>
    <w:rsid w:val="001470E0"/>
    <w:rsid w:val="00147F72"/>
    <w:rsid w:val="00151048"/>
    <w:rsid w:val="001511C0"/>
    <w:rsid w:val="001513CE"/>
    <w:rsid w:val="00152233"/>
    <w:rsid w:val="00152FE3"/>
    <w:rsid w:val="00153220"/>
    <w:rsid w:val="001538BB"/>
    <w:rsid w:val="00153F99"/>
    <w:rsid w:val="00155EE1"/>
    <w:rsid w:val="00156CC7"/>
    <w:rsid w:val="00160814"/>
    <w:rsid w:val="00160EF8"/>
    <w:rsid w:val="00161174"/>
    <w:rsid w:val="00162707"/>
    <w:rsid w:val="00164BCD"/>
    <w:rsid w:val="0016684D"/>
    <w:rsid w:val="00167FF8"/>
    <w:rsid w:val="00170657"/>
    <w:rsid w:val="00170E81"/>
    <w:rsid w:val="0017113A"/>
    <w:rsid w:val="00171404"/>
    <w:rsid w:val="00172CBE"/>
    <w:rsid w:val="00172F26"/>
    <w:rsid w:val="00174ECF"/>
    <w:rsid w:val="0017507A"/>
    <w:rsid w:val="00175385"/>
    <w:rsid w:val="00175C1A"/>
    <w:rsid w:val="001763C5"/>
    <w:rsid w:val="00176C68"/>
    <w:rsid w:val="00177405"/>
    <w:rsid w:val="00177F7A"/>
    <w:rsid w:val="0018064B"/>
    <w:rsid w:val="00180B9A"/>
    <w:rsid w:val="00181A77"/>
    <w:rsid w:val="001822C9"/>
    <w:rsid w:val="00182E02"/>
    <w:rsid w:val="001832A3"/>
    <w:rsid w:val="001835B2"/>
    <w:rsid w:val="00185BCF"/>
    <w:rsid w:val="00186376"/>
    <w:rsid w:val="00186482"/>
    <w:rsid w:val="00186B0B"/>
    <w:rsid w:val="0019019A"/>
    <w:rsid w:val="00190ECA"/>
    <w:rsid w:val="0019167B"/>
    <w:rsid w:val="001927A9"/>
    <w:rsid w:val="00192E78"/>
    <w:rsid w:val="00193F3E"/>
    <w:rsid w:val="00193F7A"/>
    <w:rsid w:val="00194576"/>
    <w:rsid w:val="00196A67"/>
    <w:rsid w:val="001A087B"/>
    <w:rsid w:val="001A08B5"/>
    <w:rsid w:val="001A2F19"/>
    <w:rsid w:val="001A36D0"/>
    <w:rsid w:val="001A516F"/>
    <w:rsid w:val="001A5B6A"/>
    <w:rsid w:val="001A752F"/>
    <w:rsid w:val="001B1A5E"/>
    <w:rsid w:val="001B1E91"/>
    <w:rsid w:val="001B2869"/>
    <w:rsid w:val="001B2AF7"/>
    <w:rsid w:val="001B5319"/>
    <w:rsid w:val="001B561F"/>
    <w:rsid w:val="001B564E"/>
    <w:rsid w:val="001B5FD7"/>
    <w:rsid w:val="001B663D"/>
    <w:rsid w:val="001B6B89"/>
    <w:rsid w:val="001B7CB3"/>
    <w:rsid w:val="001B7FCE"/>
    <w:rsid w:val="001C04B4"/>
    <w:rsid w:val="001C328F"/>
    <w:rsid w:val="001C45C0"/>
    <w:rsid w:val="001C4CFF"/>
    <w:rsid w:val="001C75AB"/>
    <w:rsid w:val="001D0832"/>
    <w:rsid w:val="001D11C8"/>
    <w:rsid w:val="001D1CCA"/>
    <w:rsid w:val="001D1E02"/>
    <w:rsid w:val="001D3200"/>
    <w:rsid w:val="001D3C54"/>
    <w:rsid w:val="001D490F"/>
    <w:rsid w:val="001D63F2"/>
    <w:rsid w:val="001D6C88"/>
    <w:rsid w:val="001D736E"/>
    <w:rsid w:val="001D7840"/>
    <w:rsid w:val="001E09DD"/>
    <w:rsid w:val="001E0E58"/>
    <w:rsid w:val="001E1B7F"/>
    <w:rsid w:val="001E1E93"/>
    <w:rsid w:val="001E251F"/>
    <w:rsid w:val="001E5D60"/>
    <w:rsid w:val="001E5FAE"/>
    <w:rsid w:val="001E791D"/>
    <w:rsid w:val="001F2F6C"/>
    <w:rsid w:val="001F3A3A"/>
    <w:rsid w:val="001F47C9"/>
    <w:rsid w:val="001F4D27"/>
    <w:rsid w:val="001F59C4"/>
    <w:rsid w:val="00200979"/>
    <w:rsid w:val="002009D0"/>
    <w:rsid w:val="00200DBE"/>
    <w:rsid w:val="00202D99"/>
    <w:rsid w:val="002032B1"/>
    <w:rsid w:val="00203903"/>
    <w:rsid w:val="00203ED4"/>
    <w:rsid w:val="00204365"/>
    <w:rsid w:val="00204D55"/>
    <w:rsid w:val="00205E2D"/>
    <w:rsid w:val="00206D44"/>
    <w:rsid w:val="00211A28"/>
    <w:rsid w:val="00211C4F"/>
    <w:rsid w:val="00212780"/>
    <w:rsid w:val="00212D08"/>
    <w:rsid w:val="002140E8"/>
    <w:rsid w:val="00215C45"/>
    <w:rsid w:val="002160E6"/>
    <w:rsid w:val="002166F2"/>
    <w:rsid w:val="002173FF"/>
    <w:rsid w:val="0022120E"/>
    <w:rsid w:val="002216DD"/>
    <w:rsid w:val="00222394"/>
    <w:rsid w:val="00223954"/>
    <w:rsid w:val="0022396C"/>
    <w:rsid w:val="002240B4"/>
    <w:rsid w:val="00225244"/>
    <w:rsid w:val="00226076"/>
    <w:rsid w:val="00226562"/>
    <w:rsid w:val="002270F6"/>
    <w:rsid w:val="00227BD9"/>
    <w:rsid w:val="002302AB"/>
    <w:rsid w:val="0023129E"/>
    <w:rsid w:val="00231906"/>
    <w:rsid w:val="00232431"/>
    <w:rsid w:val="00233202"/>
    <w:rsid w:val="002335C8"/>
    <w:rsid w:val="002336DE"/>
    <w:rsid w:val="002338C1"/>
    <w:rsid w:val="0023484A"/>
    <w:rsid w:val="002353CF"/>
    <w:rsid w:val="002357DD"/>
    <w:rsid w:val="00237224"/>
    <w:rsid w:val="00237CC6"/>
    <w:rsid w:val="00240B53"/>
    <w:rsid w:val="00240BC6"/>
    <w:rsid w:val="002416B8"/>
    <w:rsid w:val="00241C1C"/>
    <w:rsid w:val="00242A64"/>
    <w:rsid w:val="0024522D"/>
    <w:rsid w:val="00246181"/>
    <w:rsid w:val="00246B1F"/>
    <w:rsid w:val="00246F72"/>
    <w:rsid w:val="00247286"/>
    <w:rsid w:val="0024759D"/>
    <w:rsid w:val="00250336"/>
    <w:rsid w:val="00250774"/>
    <w:rsid w:val="00250B92"/>
    <w:rsid w:val="00250E9F"/>
    <w:rsid w:val="002514A8"/>
    <w:rsid w:val="00252CED"/>
    <w:rsid w:val="0025324F"/>
    <w:rsid w:val="00254451"/>
    <w:rsid w:val="00255E71"/>
    <w:rsid w:val="00260665"/>
    <w:rsid w:val="00261A93"/>
    <w:rsid w:val="00261C95"/>
    <w:rsid w:val="002621BC"/>
    <w:rsid w:val="00262BE9"/>
    <w:rsid w:val="00262D1E"/>
    <w:rsid w:val="002636FB"/>
    <w:rsid w:val="002646C6"/>
    <w:rsid w:val="00270C1C"/>
    <w:rsid w:val="00270C5B"/>
    <w:rsid w:val="00271929"/>
    <w:rsid w:val="00271ABD"/>
    <w:rsid w:val="00271B81"/>
    <w:rsid w:val="00273780"/>
    <w:rsid w:val="002758A5"/>
    <w:rsid w:val="002767F4"/>
    <w:rsid w:val="00277E20"/>
    <w:rsid w:val="00280416"/>
    <w:rsid w:val="00281690"/>
    <w:rsid w:val="002828B2"/>
    <w:rsid w:val="002843EB"/>
    <w:rsid w:val="00284428"/>
    <w:rsid w:val="00284795"/>
    <w:rsid w:val="002848F8"/>
    <w:rsid w:val="002849AF"/>
    <w:rsid w:val="00284FC3"/>
    <w:rsid w:val="00285805"/>
    <w:rsid w:val="002866CA"/>
    <w:rsid w:val="00287453"/>
    <w:rsid w:val="00287525"/>
    <w:rsid w:val="0028772D"/>
    <w:rsid w:val="00291441"/>
    <w:rsid w:val="002918F7"/>
    <w:rsid w:val="00291FE8"/>
    <w:rsid w:val="00293154"/>
    <w:rsid w:val="0029359E"/>
    <w:rsid w:val="00294532"/>
    <w:rsid w:val="002961D6"/>
    <w:rsid w:val="00296498"/>
    <w:rsid w:val="00297665"/>
    <w:rsid w:val="002A0EA7"/>
    <w:rsid w:val="002A1AB0"/>
    <w:rsid w:val="002A35DA"/>
    <w:rsid w:val="002A4FD4"/>
    <w:rsid w:val="002A5460"/>
    <w:rsid w:val="002A5516"/>
    <w:rsid w:val="002A6AD1"/>
    <w:rsid w:val="002B2167"/>
    <w:rsid w:val="002B22F3"/>
    <w:rsid w:val="002B35D0"/>
    <w:rsid w:val="002B78F1"/>
    <w:rsid w:val="002C00DD"/>
    <w:rsid w:val="002C1291"/>
    <w:rsid w:val="002C1644"/>
    <w:rsid w:val="002C1A1D"/>
    <w:rsid w:val="002C21BA"/>
    <w:rsid w:val="002C29FC"/>
    <w:rsid w:val="002C2F94"/>
    <w:rsid w:val="002C401D"/>
    <w:rsid w:val="002C4107"/>
    <w:rsid w:val="002C6111"/>
    <w:rsid w:val="002D09CE"/>
    <w:rsid w:val="002D1395"/>
    <w:rsid w:val="002D2F13"/>
    <w:rsid w:val="002D41B8"/>
    <w:rsid w:val="002D438D"/>
    <w:rsid w:val="002D5DB6"/>
    <w:rsid w:val="002D662F"/>
    <w:rsid w:val="002D6AC0"/>
    <w:rsid w:val="002D6AF9"/>
    <w:rsid w:val="002D734A"/>
    <w:rsid w:val="002D7D22"/>
    <w:rsid w:val="002D7D97"/>
    <w:rsid w:val="002E0D6D"/>
    <w:rsid w:val="002E160E"/>
    <w:rsid w:val="002E169C"/>
    <w:rsid w:val="002E1D35"/>
    <w:rsid w:val="002E2BA7"/>
    <w:rsid w:val="002E3151"/>
    <w:rsid w:val="002E4582"/>
    <w:rsid w:val="002E4BB1"/>
    <w:rsid w:val="002E5170"/>
    <w:rsid w:val="002E7645"/>
    <w:rsid w:val="002F0AD9"/>
    <w:rsid w:val="002F24F7"/>
    <w:rsid w:val="002F2D65"/>
    <w:rsid w:val="002F4610"/>
    <w:rsid w:val="002F5B24"/>
    <w:rsid w:val="00301231"/>
    <w:rsid w:val="003018BD"/>
    <w:rsid w:val="00301985"/>
    <w:rsid w:val="00301A9C"/>
    <w:rsid w:val="00301EE3"/>
    <w:rsid w:val="00302ECE"/>
    <w:rsid w:val="00304682"/>
    <w:rsid w:val="00304C46"/>
    <w:rsid w:val="00304CB1"/>
    <w:rsid w:val="003053F8"/>
    <w:rsid w:val="00305890"/>
    <w:rsid w:val="00305C1E"/>
    <w:rsid w:val="00306055"/>
    <w:rsid w:val="00306679"/>
    <w:rsid w:val="003101AD"/>
    <w:rsid w:val="00310B70"/>
    <w:rsid w:val="00311156"/>
    <w:rsid w:val="003112D6"/>
    <w:rsid w:val="003112FF"/>
    <w:rsid w:val="003113BA"/>
    <w:rsid w:val="0031287B"/>
    <w:rsid w:val="00313070"/>
    <w:rsid w:val="003137E1"/>
    <w:rsid w:val="00313979"/>
    <w:rsid w:val="00313B81"/>
    <w:rsid w:val="00313E58"/>
    <w:rsid w:val="0031481B"/>
    <w:rsid w:val="00315F39"/>
    <w:rsid w:val="00316501"/>
    <w:rsid w:val="00316EAD"/>
    <w:rsid w:val="00317892"/>
    <w:rsid w:val="003238D7"/>
    <w:rsid w:val="003243E5"/>
    <w:rsid w:val="003252F5"/>
    <w:rsid w:val="00325C01"/>
    <w:rsid w:val="003261D4"/>
    <w:rsid w:val="0032635A"/>
    <w:rsid w:val="0032705A"/>
    <w:rsid w:val="00330AA9"/>
    <w:rsid w:val="00330BAF"/>
    <w:rsid w:val="00330F58"/>
    <w:rsid w:val="00331C01"/>
    <w:rsid w:val="00332A62"/>
    <w:rsid w:val="00332BB7"/>
    <w:rsid w:val="00333339"/>
    <w:rsid w:val="00334565"/>
    <w:rsid w:val="003345EE"/>
    <w:rsid w:val="003347AB"/>
    <w:rsid w:val="00334B2F"/>
    <w:rsid w:val="003356BF"/>
    <w:rsid w:val="00335B85"/>
    <w:rsid w:val="003363F9"/>
    <w:rsid w:val="00336788"/>
    <w:rsid w:val="0033681B"/>
    <w:rsid w:val="003368F6"/>
    <w:rsid w:val="003370BD"/>
    <w:rsid w:val="00340A77"/>
    <w:rsid w:val="00340DC1"/>
    <w:rsid w:val="00340E44"/>
    <w:rsid w:val="00342188"/>
    <w:rsid w:val="00342D26"/>
    <w:rsid w:val="00343F4C"/>
    <w:rsid w:val="0034404D"/>
    <w:rsid w:val="003445EB"/>
    <w:rsid w:val="00344A7F"/>
    <w:rsid w:val="00347AB7"/>
    <w:rsid w:val="003501A6"/>
    <w:rsid w:val="0035198B"/>
    <w:rsid w:val="00351ECA"/>
    <w:rsid w:val="003521AA"/>
    <w:rsid w:val="00352261"/>
    <w:rsid w:val="00354317"/>
    <w:rsid w:val="0035472F"/>
    <w:rsid w:val="00355BF6"/>
    <w:rsid w:val="0035634C"/>
    <w:rsid w:val="003567CF"/>
    <w:rsid w:val="0035711F"/>
    <w:rsid w:val="00360ACA"/>
    <w:rsid w:val="0036180E"/>
    <w:rsid w:val="00362D51"/>
    <w:rsid w:val="00362F37"/>
    <w:rsid w:val="00363115"/>
    <w:rsid w:val="00364A8B"/>
    <w:rsid w:val="0036538C"/>
    <w:rsid w:val="003665EC"/>
    <w:rsid w:val="0036664E"/>
    <w:rsid w:val="0036794D"/>
    <w:rsid w:val="00367D4E"/>
    <w:rsid w:val="0037047A"/>
    <w:rsid w:val="00370E1B"/>
    <w:rsid w:val="003712F7"/>
    <w:rsid w:val="00371797"/>
    <w:rsid w:val="00371DEA"/>
    <w:rsid w:val="003723D7"/>
    <w:rsid w:val="00374FDF"/>
    <w:rsid w:val="0037587A"/>
    <w:rsid w:val="00376308"/>
    <w:rsid w:val="00376576"/>
    <w:rsid w:val="00376AA1"/>
    <w:rsid w:val="00377F14"/>
    <w:rsid w:val="00381929"/>
    <w:rsid w:val="00381F1A"/>
    <w:rsid w:val="00383624"/>
    <w:rsid w:val="003839C8"/>
    <w:rsid w:val="00385D1F"/>
    <w:rsid w:val="003864A0"/>
    <w:rsid w:val="00386935"/>
    <w:rsid w:val="0038705A"/>
    <w:rsid w:val="00387668"/>
    <w:rsid w:val="003905B1"/>
    <w:rsid w:val="00391CCE"/>
    <w:rsid w:val="00393411"/>
    <w:rsid w:val="00395282"/>
    <w:rsid w:val="00396B27"/>
    <w:rsid w:val="00396F94"/>
    <w:rsid w:val="003A0DDD"/>
    <w:rsid w:val="003A2D78"/>
    <w:rsid w:val="003A31B7"/>
    <w:rsid w:val="003A34C6"/>
    <w:rsid w:val="003A4092"/>
    <w:rsid w:val="003A5D6C"/>
    <w:rsid w:val="003A627E"/>
    <w:rsid w:val="003A73AF"/>
    <w:rsid w:val="003A7637"/>
    <w:rsid w:val="003A77B9"/>
    <w:rsid w:val="003B13AD"/>
    <w:rsid w:val="003B1614"/>
    <w:rsid w:val="003B1BD5"/>
    <w:rsid w:val="003B31A4"/>
    <w:rsid w:val="003B3D90"/>
    <w:rsid w:val="003B42DC"/>
    <w:rsid w:val="003B5294"/>
    <w:rsid w:val="003B531B"/>
    <w:rsid w:val="003B553D"/>
    <w:rsid w:val="003B569A"/>
    <w:rsid w:val="003B614C"/>
    <w:rsid w:val="003B6C4F"/>
    <w:rsid w:val="003B72E9"/>
    <w:rsid w:val="003B7801"/>
    <w:rsid w:val="003B7D28"/>
    <w:rsid w:val="003B7E51"/>
    <w:rsid w:val="003C02A6"/>
    <w:rsid w:val="003C0787"/>
    <w:rsid w:val="003C0BA6"/>
    <w:rsid w:val="003C1B67"/>
    <w:rsid w:val="003C2732"/>
    <w:rsid w:val="003C2C15"/>
    <w:rsid w:val="003C5178"/>
    <w:rsid w:val="003C5582"/>
    <w:rsid w:val="003C5ECA"/>
    <w:rsid w:val="003C618F"/>
    <w:rsid w:val="003C6691"/>
    <w:rsid w:val="003C7F1B"/>
    <w:rsid w:val="003C7FDF"/>
    <w:rsid w:val="003D05A9"/>
    <w:rsid w:val="003D0637"/>
    <w:rsid w:val="003D0B47"/>
    <w:rsid w:val="003D0BE8"/>
    <w:rsid w:val="003D1799"/>
    <w:rsid w:val="003D393F"/>
    <w:rsid w:val="003D509F"/>
    <w:rsid w:val="003D50AA"/>
    <w:rsid w:val="003D54E8"/>
    <w:rsid w:val="003D5A9F"/>
    <w:rsid w:val="003D6201"/>
    <w:rsid w:val="003D6BD5"/>
    <w:rsid w:val="003D6E93"/>
    <w:rsid w:val="003D73FF"/>
    <w:rsid w:val="003D7658"/>
    <w:rsid w:val="003D7A15"/>
    <w:rsid w:val="003E05D9"/>
    <w:rsid w:val="003E0D88"/>
    <w:rsid w:val="003E2977"/>
    <w:rsid w:val="003E2BDE"/>
    <w:rsid w:val="003E4095"/>
    <w:rsid w:val="003E41EB"/>
    <w:rsid w:val="003E53D5"/>
    <w:rsid w:val="003E6A87"/>
    <w:rsid w:val="003E7C83"/>
    <w:rsid w:val="003F0154"/>
    <w:rsid w:val="003F09BF"/>
    <w:rsid w:val="003F124F"/>
    <w:rsid w:val="003F23FA"/>
    <w:rsid w:val="003F303C"/>
    <w:rsid w:val="003F3C17"/>
    <w:rsid w:val="003F3C84"/>
    <w:rsid w:val="003F3FDD"/>
    <w:rsid w:val="003F4532"/>
    <w:rsid w:val="003F4FFD"/>
    <w:rsid w:val="003F5DF8"/>
    <w:rsid w:val="003F5E18"/>
    <w:rsid w:val="003F5F27"/>
    <w:rsid w:val="003F66E5"/>
    <w:rsid w:val="003F6871"/>
    <w:rsid w:val="003F6FD2"/>
    <w:rsid w:val="0040015E"/>
    <w:rsid w:val="0040071D"/>
    <w:rsid w:val="00400842"/>
    <w:rsid w:val="004008E6"/>
    <w:rsid w:val="00401FB8"/>
    <w:rsid w:val="0040218B"/>
    <w:rsid w:val="004033A3"/>
    <w:rsid w:val="0040368C"/>
    <w:rsid w:val="0040432E"/>
    <w:rsid w:val="0040450C"/>
    <w:rsid w:val="0040506C"/>
    <w:rsid w:val="004055F2"/>
    <w:rsid w:val="004058C2"/>
    <w:rsid w:val="00405C2A"/>
    <w:rsid w:val="00406E13"/>
    <w:rsid w:val="004071E2"/>
    <w:rsid w:val="00411416"/>
    <w:rsid w:val="00411789"/>
    <w:rsid w:val="00412116"/>
    <w:rsid w:val="00413DF9"/>
    <w:rsid w:val="00414084"/>
    <w:rsid w:val="00414F99"/>
    <w:rsid w:val="00415693"/>
    <w:rsid w:val="00415DF2"/>
    <w:rsid w:val="00416332"/>
    <w:rsid w:val="00416D14"/>
    <w:rsid w:val="00417AAE"/>
    <w:rsid w:val="0042063A"/>
    <w:rsid w:val="00420AED"/>
    <w:rsid w:val="00422F1C"/>
    <w:rsid w:val="00423520"/>
    <w:rsid w:val="00424A56"/>
    <w:rsid w:val="00425810"/>
    <w:rsid w:val="00425EB9"/>
    <w:rsid w:val="00425F78"/>
    <w:rsid w:val="00426082"/>
    <w:rsid w:val="00427370"/>
    <w:rsid w:val="00427F28"/>
    <w:rsid w:val="00430032"/>
    <w:rsid w:val="00430CDE"/>
    <w:rsid w:val="004320A1"/>
    <w:rsid w:val="00432871"/>
    <w:rsid w:val="004342A6"/>
    <w:rsid w:val="004358F9"/>
    <w:rsid w:val="00436EED"/>
    <w:rsid w:val="004376F9"/>
    <w:rsid w:val="00440B4D"/>
    <w:rsid w:val="00440CF3"/>
    <w:rsid w:val="00441E44"/>
    <w:rsid w:val="004423EC"/>
    <w:rsid w:val="0044259C"/>
    <w:rsid w:val="004426DB"/>
    <w:rsid w:val="00444122"/>
    <w:rsid w:val="00444CF1"/>
    <w:rsid w:val="0044566B"/>
    <w:rsid w:val="004466B2"/>
    <w:rsid w:val="00446FEF"/>
    <w:rsid w:val="00447133"/>
    <w:rsid w:val="0045017B"/>
    <w:rsid w:val="00450D94"/>
    <w:rsid w:val="00451148"/>
    <w:rsid w:val="00451BE6"/>
    <w:rsid w:val="00452542"/>
    <w:rsid w:val="00453290"/>
    <w:rsid w:val="00454343"/>
    <w:rsid w:val="0045481D"/>
    <w:rsid w:val="00455019"/>
    <w:rsid w:val="00455C28"/>
    <w:rsid w:val="004561C8"/>
    <w:rsid w:val="004568A9"/>
    <w:rsid w:val="00456F3A"/>
    <w:rsid w:val="004576B5"/>
    <w:rsid w:val="004577D0"/>
    <w:rsid w:val="00460291"/>
    <w:rsid w:val="00460324"/>
    <w:rsid w:val="00460B6D"/>
    <w:rsid w:val="00461B6A"/>
    <w:rsid w:val="00462229"/>
    <w:rsid w:val="0046318A"/>
    <w:rsid w:val="0046346D"/>
    <w:rsid w:val="004639F0"/>
    <w:rsid w:val="0046495B"/>
    <w:rsid w:val="00464BD6"/>
    <w:rsid w:val="00464CC6"/>
    <w:rsid w:val="0046532B"/>
    <w:rsid w:val="00467231"/>
    <w:rsid w:val="0046778F"/>
    <w:rsid w:val="00467EDC"/>
    <w:rsid w:val="00470C83"/>
    <w:rsid w:val="0047155D"/>
    <w:rsid w:val="0047375A"/>
    <w:rsid w:val="00474197"/>
    <w:rsid w:val="0047445B"/>
    <w:rsid w:val="004753C6"/>
    <w:rsid w:val="0047563D"/>
    <w:rsid w:val="00476486"/>
    <w:rsid w:val="00481C2E"/>
    <w:rsid w:val="0048223B"/>
    <w:rsid w:val="0048294E"/>
    <w:rsid w:val="00483AF9"/>
    <w:rsid w:val="00483F79"/>
    <w:rsid w:val="00484852"/>
    <w:rsid w:val="0048508E"/>
    <w:rsid w:val="004850DE"/>
    <w:rsid w:val="004863AB"/>
    <w:rsid w:val="00490F0A"/>
    <w:rsid w:val="004931AC"/>
    <w:rsid w:val="004933E6"/>
    <w:rsid w:val="0049551A"/>
    <w:rsid w:val="00495843"/>
    <w:rsid w:val="004959E0"/>
    <w:rsid w:val="00496A47"/>
    <w:rsid w:val="0049724A"/>
    <w:rsid w:val="004972FE"/>
    <w:rsid w:val="00497931"/>
    <w:rsid w:val="004A004A"/>
    <w:rsid w:val="004A010F"/>
    <w:rsid w:val="004A0713"/>
    <w:rsid w:val="004A08E7"/>
    <w:rsid w:val="004A0972"/>
    <w:rsid w:val="004A1119"/>
    <w:rsid w:val="004A14C3"/>
    <w:rsid w:val="004A1B34"/>
    <w:rsid w:val="004A1C7E"/>
    <w:rsid w:val="004A277E"/>
    <w:rsid w:val="004A2B9F"/>
    <w:rsid w:val="004A2D0C"/>
    <w:rsid w:val="004A34CA"/>
    <w:rsid w:val="004A4D76"/>
    <w:rsid w:val="004A536B"/>
    <w:rsid w:val="004A5FFB"/>
    <w:rsid w:val="004A64D1"/>
    <w:rsid w:val="004A74A8"/>
    <w:rsid w:val="004B12C9"/>
    <w:rsid w:val="004B20D4"/>
    <w:rsid w:val="004B3C4F"/>
    <w:rsid w:val="004B5103"/>
    <w:rsid w:val="004B5486"/>
    <w:rsid w:val="004B7080"/>
    <w:rsid w:val="004C0D45"/>
    <w:rsid w:val="004C1855"/>
    <w:rsid w:val="004C2CCD"/>
    <w:rsid w:val="004C2DEA"/>
    <w:rsid w:val="004C3017"/>
    <w:rsid w:val="004C3109"/>
    <w:rsid w:val="004C466E"/>
    <w:rsid w:val="004C500C"/>
    <w:rsid w:val="004C6457"/>
    <w:rsid w:val="004D0DE9"/>
    <w:rsid w:val="004D0EC6"/>
    <w:rsid w:val="004D118F"/>
    <w:rsid w:val="004D1FE7"/>
    <w:rsid w:val="004D1FF8"/>
    <w:rsid w:val="004D4376"/>
    <w:rsid w:val="004D4B06"/>
    <w:rsid w:val="004D50CD"/>
    <w:rsid w:val="004D542A"/>
    <w:rsid w:val="004D543F"/>
    <w:rsid w:val="004D5CB2"/>
    <w:rsid w:val="004D5CBD"/>
    <w:rsid w:val="004E0306"/>
    <w:rsid w:val="004E1DD6"/>
    <w:rsid w:val="004E2136"/>
    <w:rsid w:val="004E294E"/>
    <w:rsid w:val="004E2BC0"/>
    <w:rsid w:val="004E2F62"/>
    <w:rsid w:val="004E3174"/>
    <w:rsid w:val="004E3902"/>
    <w:rsid w:val="004E398E"/>
    <w:rsid w:val="004E4B6B"/>
    <w:rsid w:val="004E50D2"/>
    <w:rsid w:val="004E5F10"/>
    <w:rsid w:val="004E64C5"/>
    <w:rsid w:val="004E68AD"/>
    <w:rsid w:val="004E69DA"/>
    <w:rsid w:val="004E6C5C"/>
    <w:rsid w:val="004E75E3"/>
    <w:rsid w:val="004F1703"/>
    <w:rsid w:val="004F3481"/>
    <w:rsid w:val="004F4631"/>
    <w:rsid w:val="004F523D"/>
    <w:rsid w:val="004F5B06"/>
    <w:rsid w:val="004F64F4"/>
    <w:rsid w:val="004F6FB6"/>
    <w:rsid w:val="00500534"/>
    <w:rsid w:val="005005EB"/>
    <w:rsid w:val="00501327"/>
    <w:rsid w:val="00502A73"/>
    <w:rsid w:val="00503B0E"/>
    <w:rsid w:val="005046E8"/>
    <w:rsid w:val="00505BEF"/>
    <w:rsid w:val="005064DB"/>
    <w:rsid w:val="00506A05"/>
    <w:rsid w:val="00510655"/>
    <w:rsid w:val="0051072B"/>
    <w:rsid w:val="00510FFF"/>
    <w:rsid w:val="005124E6"/>
    <w:rsid w:val="005136DA"/>
    <w:rsid w:val="005143A2"/>
    <w:rsid w:val="00514483"/>
    <w:rsid w:val="00514AD9"/>
    <w:rsid w:val="00514F93"/>
    <w:rsid w:val="00516982"/>
    <w:rsid w:val="00517B1B"/>
    <w:rsid w:val="00517F49"/>
    <w:rsid w:val="0052212E"/>
    <w:rsid w:val="00522145"/>
    <w:rsid w:val="00523F93"/>
    <w:rsid w:val="00524642"/>
    <w:rsid w:val="00525B08"/>
    <w:rsid w:val="005270E2"/>
    <w:rsid w:val="005277DA"/>
    <w:rsid w:val="00527A45"/>
    <w:rsid w:val="00531F3C"/>
    <w:rsid w:val="00533165"/>
    <w:rsid w:val="005355E3"/>
    <w:rsid w:val="005364FF"/>
    <w:rsid w:val="00536AFB"/>
    <w:rsid w:val="00537877"/>
    <w:rsid w:val="00537A59"/>
    <w:rsid w:val="0053BDD5"/>
    <w:rsid w:val="0054074D"/>
    <w:rsid w:val="0054299B"/>
    <w:rsid w:val="0054303F"/>
    <w:rsid w:val="00543EC3"/>
    <w:rsid w:val="005440BD"/>
    <w:rsid w:val="0054482E"/>
    <w:rsid w:val="00544C17"/>
    <w:rsid w:val="00546316"/>
    <w:rsid w:val="00546922"/>
    <w:rsid w:val="00546C1F"/>
    <w:rsid w:val="00547561"/>
    <w:rsid w:val="00547D01"/>
    <w:rsid w:val="00550E32"/>
    <w:rsid w:val="00551C0F"/>
    <w:rsid w:val="00552376"/>
    <w:rsid w:val="005531B0"/>
    <w:rsid w:val="0055371F"/>
    <w:rsid w:val="00553D79"/>
    <w:rsid w:val="005540F0"/>
    <w:rsid w:val="0055451F"/>
    <w:rsid w:val="00555107"/>
    <w:rsid w:val="00556776"/>
    <w:rsid w:val="00557128"/>
    <w:rsid w:val="0056047F"/>
    <w:rsid w:val="00560B6C"/>
    <w:rsid w:val="005615F7"/>
    <w:rsid w:val="00562D22"/>
    <w:rsid w:val="00563A02"/>
    <w:rsid w:val="00564567"/>
    <w:rsid w:val="00565047"/>
    <w:rsid w:val="00566E7A"/>
    <w:rsid w:val="00567907"/>
    <w:rsid w:val="005706F8"/>
    <w:rsid w:val="00572951"/>
    <w:rsid w:val="00574487"/>
    <w:rsid w:val="00574828"/>
    <w:rsid w:val="00575CEE"/>
    <w:rsid w:val="005769A2"/>
    <w:rsid w:val="00576EB2"/>
    <w:rsid w:val="0057713A"/>
    <w:rsid w:val="005773CD"/>
    <w:rsid w:val="0057745B"/>
    <w:rsid w:val="00577BF4"/>
    <w:rsid w:val="0058016F"/>
    <w:rsid w:val="00581C32"/>
    <w:rsid w:val="00581D35"/>
    <w:rsid w:val="00581E24"/>
    <w:rsid w:val="00582970"/>
    <w:rsid w:val="00582A75"/>
    <w:rsid w:val="00582D91"/>
    <w:rsid w:val="00583066"/>
    <w:rsid w:val="00583BAD"/>
    <w:rsid w:val="00583CC9"/>
    <w:rsid w:val="005856DF"/>
    <w:rsid w:val="0058652B"/>
    <w:rsid w:val="00587D81"/>
    <w:rsid w:val="00590AC1"/>
    <w:rsid w:val="005916D7"/>
    <w:rsid w:val="00591D29"/>
    <w:rsid w:val="00591D57"/>
    <w:rsid w:val="00592C8A"/>
    <w:rsid w:val="00592CF5"/>
    <w:rsid w:val="005934C1"/>
    <w:rsid w:val="00593F12"/>
    <w:rsid w:val="005943CB"/>
    <w:rsid w:val="0059699C"/>
    <w:rsid w:val="00596FCE"/>
    <w:rsid w:val="005973C2"/>
    <w:rsid w:val="005A0953"/>
    <w:rsid w:val="005A0B95"/>
    <w:rsid w:val="005A181F"/>
    <w:rsid w:val="005A43CC"/>
    <w:rsid w:val="005A4EB6"/>
    <w:rsid w:val="005A57E7"/>
    <w:rsid w:val="005A5B9B"/>
    <w:rsid w:val="005A6D8A"/>
    <w:rsid w:val="005A6EAC"/>
    <w:rsid w:val="005A7686"/>
    <w:rsid w:val="005B2240"/>
    <w:rsid w:val="005B2741"/>
    <w:rsid w:val="005B2D4F"/>
    <w:rsid w:val="005B37C6"/>
    <w:rsid w:val="005B438B"/>
    <w:rsid w:val="005B4AE7"/>
    <w:rsid w:val="005B6258"/>
    <w:rsid w:val="005B6460"/>
    <w:rsid w:val="005B7821"/>
    <w:rsid w:val="005B793F"/>
    <w:rsid w:val="005B7FDF"/>
    <w:rsid w:val="005C2354"/>
    <w:rsid w:val="005C2AFD"/>
    <w:rsid w:val="005C35A1"/>
    <w:rsid w:val="005C38F1"/>
    <w:rsid w:val="005C3C67"/>
    <w:rsid w:val="005C3CCB"/>
    <w:rsid w:val="005C439A"/>
    <w:rsid w:val="005C46E5"/>
    <w:rsid w:val="005C5323"/>
    <w:rsid w:val="005C5BED"/>
    <w:rsid w:val="005C6090"/>
    <w:rsid w:val="005C6404"/>
    <w:rsid w:val="005C7448"/>
    <w:rsid w:val="005C7D6E"/>
    <w:rsid w:val="005C7D7F"/>
    <w:rsid w:val="005D01A3"/>
    <w:rsid w:val="005D0852"/>
    <w:rsid w:val="005D0868"/>
    <w:rsid w:val="005D0995"/>
    <w:rsid w:val="005D109B"/>
    <w:rsid w:val="005D1EDD"/>
    <w:rsid w:val="005D23F2"/>
    <w:rsid w:val="005D2D33"/>
    <w:rsid w:val="005D2E32"/>
    <w:rsid w:val="005D2F35"/>
    <w:rsid w:val="005D3096"/>
    <w:rsid w:val="005D3D2E"/>
    <w:rsid w:val="005D5FB4"/>
    <w:rsid w:val="005D62E7"/>
    <w:rsid w:val="005D6A8B"/>
    <w:rsid w:val="005D70A6"/>
    <w:rsid w:val="005E0539"/>
    <w:rsid w:val="005E0BFE"/>
    <w:rsid w:val="005E17C7"/>
    <w:rsid w:val="005E1D8D"/>
    <w:rsid w:val="005E26D3"/>
    <w:rsid w:val="005E30B5"/>
    <w:rsid w:val="005E3770"/>
    <w:rsid w:val="005E3C37"/>
    <w:rsid w:val="005E46CD"/>
    <w:rsid w:val="005E4A46"/>
    <w:rsid w:val="005E5075"/>
    <w:rsid w:val="005E6F6C"/>
    <w:rsid w:val="005F06B8"/>
    <w:rsid w:val="005F0D59"/>
    <w:rsid w:val="005F13B7"/>
    <w:rsid w:val="005F1DFB"/>
    <w:rsid w:val="005F2C4F"/>
    <w:rsid w:val="005F2DAF"/>
    <w:rsid w:val="005F3286"/>
    <w:rsid w:val="005F3B17"/>
    <w:rsid w:val="005F3E9C"/>
    <w:rsid w:val="005F4600"/>
    <w:rsid w:val="005F4678"/>
    <w:rsid w:val="005F69C2"/>
    <w:rsid w:val="005F7BBD"/>
    <w:rsid w:val="00601429"/>
    <w:rsid w:val="00601999"/>
    <w:rsid w:val="0060233B"/>
    <w:rsid w:val="00602739"/>
    <w:rsid w:val="00602DBF"/>
    <w:rsid w:val="00603808"/>
    <w:rsid w:val="00604C88"/>
    <w:rsid w:val="00607130"/>
    <w:rsid w:val="00610D35"/>
    <w:rsid w:val="00610F8A"/>
    <w:rsid w:val="00612D26"/>
    <w:rsid w:val="006142D4"/>
    <w:rsid w:val="00614C1E"/>
    <w:rsid w:val="00615196"/>
    <w:rsid w:val="006164E2"/>
    <w:rsid w:val="00616897"/>
    <w:rsid w:val="00616E98"/>
    <w:rsid w:val="00617BE2"/>
    <w:rsid w:val="00622482"/>
    <w:rsid w:val="00625F52"/>
    <w:rsid w:val="00626B24"/>
    <w:rsid w:val="00627023"/>
    <w:rsid w:val="006320F5"/>
    <w:rsid w:val="0063343C"/>
    <w:rsid w:val="006355BD"/>
    <w:rsid w:val="0063595D"/>
    <w:rsid w:val="00637FB9"/>
    <w:rsid w:val="0064003D"/>
    <w:rsid w:val="00641AB9"/>
    <w:rsid w:val="00643429"/>
    <w:rsid w:val="00645BDA"/>
    <w:rsid w:val="0064726B"/>
    <w:rsid w:val="00651EAB"/>
    <w:rsid w:val="00652D6A"/>
    <w:rsid w:val="0065395C"/>
    <w:rsid w:val="00653DBA"/>
    <w:rsid w:val="006552E3"/>
    <w:rsid w:val="006560BA"/>
    <w:rsid w:val="00657FD6"/>
    <w:rsid w:val="00660554"/>
    <w:rsid w:val="00660A05"/>
    <w:rsid w:val="00660A29"/>
    <w:rsid w:val="0066165B"/>
    <w:rsid w:val="0066260E"/>
    <w:rsid w:val="0066300E"/>
    <w:rsid w:val="00663AEE"/>
    <w:rsid w:val="00663CD6"/>
    <w:rsid w:val="00665522"/>
    <w:rsid w:val="00665CCA"/>
    <w:rsid w:val="0066626B"/>
    <w:rsid w:val="006702EA"/>
    <w:rsid w:val="0067079D"/>
    <w:rsid w:val="00670A61"/>
    <w:rsid w:val="006721E9"/>
    <w:rsid w:val="00672585"/>
    <w:rsid w:val="00672605"/>
    <w:rsid w:val="00672C05"/>
    <w:rsid w:val="00673424"/>
    <w:rsid w:val="006735B9"/>
    <w:rsid w:val="00673708"/>
    <w:rsid w:val="00675129"/>
    <w:rsid w:val="00675C89"/>
    <w:rsid w:val="006768F8"/>
    <w:rsid w:val="00677CD7"/>
    <w:rsid w:val="00677FF0"/>
    <w:rsid w:val="006804C8"/>
    <w:rsid w:val="00683571"/>
    <w:rsid w:val="006836B1"/>
    <w:rsid w:val="00683724"/>
    <w:rsid w:val="00685A58"/>
    <w:rsid w:val="00685DA1"/>
    <w:rsid w:val="006863D1"/>
    <w:rsid w:val="0068674C"/>
    <w:rsid w:val="0068686F"/>
    <w:rsid w:val="00687A28"/>
    <w:rsid w:val="00687A9E"/>
    <w:rsid w:val="00687F6D"/>
    <w:rsid w:val="00691908"/>
    <w:rsid w:val="00691B7C"/>
    <w:rsid w:val="00693F0C"/>
    <w:rsid w:val="00694221"/>
    <w:rsid w:val="00694C27"/>
    <w:rsid w:val="006958B6"/>
    <w:rsid w:val="006960C7"/>
    <w:rsid w:val="00696230"/>
    <w:rsid w:val="006967A0"/>
    <w:rsid w:val="0069711B"/>
    <w:rsid w:val="006A118C"/>
    <w:rsid w:val="006A201F"/>
    <w:rsid w:val="006A2557"/>
    <w:rsid w:val="006A29D9"/>
    <w:rsid w:val="006A2A9F"/>
    <w:rsid w:val="006A2AA0"/>
    <w:rsid w:val="006A2F2E"/>
    <w:rsid w:val="006A3318"/>
    <w:rsid w:val="006A3339"/>
    <w:rsid w:val="006A3528"/>
    <w:rsid w:val="006A49EA"/>
    <w:rsid w:val="006A5A06"/>
    <w:rsid w:val="006A5FAF"/>
    <w:rsid w:val="006A65C5"/>
    <w:rsid w:val="006A6E13"/>
    <w:rsid w:val="006A7227"/>
    <w:rsid w:val="006A7867"/>
    <w:rsid w:val="006A7C79"/>
    <w:rsid w:val="006B0482"/>
    <w:rsid w:val="006B34CE"/>
    <w:rsid w:val="006B432A"/>
    <w:rsid w:val="006B4CB2"/>
    <w:rsid w:val="006B4FD5"/>
    <w:rsid w:val="006B58B5"/>
    <w:rsid w:val="006B5A10"/>
    <w:rsid w:val="006B5C3A"/>
    <w:rsid w:val="006B5DE7"/>
    <w:rsid w:val="006B69B0"/>
    <w:rsid w:val="006B6AB9"/>
    <w:rsid w:val="006B780A"/>
    <w:rsid w:val="006C049E"/>
    <w:rsid w:val="006C04AC"/>
    <w:rsid w:val="006C140B"/>
    <w:rsid w:val="006C607A"/>
    <w:rsid w:val="006C6465"/>
    <w:rsid w:val="006C789B"/>
    <w:rsid w:val="006D0DF2"/>
    <w:rsid w:val="006D127A"/>
    <w:rsid w:val="006D1CCD"/>
    <w:rsid w:val="006D298E"/>
    <w:rsid w:val="006D3CFE"/>
    <w:rsid w:val="006D3EB6"/>
    <w:rsid w:val="006D4701"/>
    <w:rsid w:val="006D4F88"/>
    <w:rsid w:val="006D55FC"/>
    <w:rsid w:val="006D60C1"/>
    <w:rsid w:val="006D6135"/>
    <w:rsid w:val="006D6323"/>
    <w:rsid w:val="006D6603"/>
    <w:rsid w:val="006D73E6"/>
    <w:rsid w:val="006D756F"/>
    <w:rsid w:val="006E2052"/>
    <w:rsid w:val="006E23F2"/>
    <w:rsid w:val="006E3A19"/>
    <w:rsid w:val="006E3D2C"/>
    <w:rsid w:val="006E43AB"/>
    <w:rsid w:val="006E477F"/>
    <w:rsid w:val="006E4803"/>
    <w:rsid w:val="006E4905"/>
    <w:rsid w:val="006E6414"/>
    <w:rsid w:val="006E76CF"/>
    <w:rsid w:val="006E7B6C"/>
    <w:rsid w:val="006F21EE"/>
    <w:rsid w:val="006F2583"/>
    <w:rsid w:val="006F38CC"/>
    <w:rsid w:val="006F4838"/>
    <w:rsid w:val="006F4E86"/>
    <w:rsid w:val="006F6432"/>
    <w:rsid w:val="006F6C71"/>
    <w:rsid w:val="006F799C"/>
    <w:rsid w:val="00700D3E"/>
    <w:rsid w:val="00702B04"/>
    <w:rsid w:val="00702EF0"/>
    <w:rsid w:val="00702FFE"/>
    <w:rsid w:val="00704172"/>
    <w:rsid w:val="00704DA5"/>
    <w:rsid w:val="00704E67"/>
    <w:rsid w:val="00705890"/>
    <w:rsid w:val="007059AC"/>
    <w:rsid w:val="00707421"/>
    <w:rsid w:val="00711B5A"/>
    <w:rsid w:val="007126BA"/>
    <w:rsid w:val="00713AC2"/>
    <w:rsid w:val="00713EDA"/>
    <w:rsid w:val="007142AE"/>
    <w:rsid w:val="00714BCA"/>
    <w:rsid w:val="00715658"/>
    <w:rsid w:val="00716157"/>
    <w:rsid w:val="00716D76"/>
    <w:rsid w:val="00716FD0"/>
    <w:rsid w:val="00717126"/>
    <w:rsid w:val="00721361"/>
    <w:rsid w:val="00721BFB"/>
    <w:rsid w:val="00723F2D"/>
    <w:rsid w:val="00726097"/>
    <w:rsid w:val="007260C1"/>
    <w:rsid w:val="00726CEB"/>
    <w:rsid w:val="007278C2"/>
    <w:rsid w:val="00730516"/>
    <w:rsid w:val="00730E29"/>
    <w:rsid w:val="007316E1"/>
    <w:rsid w:val="0073170F"/>
    <w:rsid w:val="00732CE4"/>
    <w:rsid w:val="00735CCB"/>
    <w:rsid w:val="0073604A"/>
    <w:rsid w:val="007360F4"/>
    <w:rsid w:val="0073621C"/>
    <w:rsid w:val="0073624B"/>
    <w:rsid w:val="00736684"/>
    <w:rsid w:val="0073755D"/>
    <w:rsid w:val="00737A55"/>
    <w:rsid w:val="00737AF4"/>
    <w:rsid w:val="00740908"/>
    <w:rsid w:val="00743434"/>
    <w:rsid w:val="0074421E"/>
    <w:rsid w:val="00745917"/>
    <w:rsid w:val="00745D3B"/>
    <w:rsid w:val="0074674D"/>
    <w:rsid w:val="00747347"/>
    <w:rsid w:val="007508C3"/>
    <w:rsid w:val="00750AD2"/>
    <w:rsid w:val="00750C41"/>
    <w:rsid w:val="0075102D"/>
    <w:rsid w:val="0075149F"/>
    <w:rsid w:val="0075313A"/>
    <w:rsid w:val="007557F1"/>
    <w:rsid w:val="00755A53"/>
    <w:rsid w:val="00755CD6"/>
    <w:rsid w:val="007563A2"/>
    <w:rsid w:val="00756A5B"/>
    <w:rsid w:val="0076090F"/>
    <w:rsid w:val="0076094A"/>
    <w:rsid w:val="00764287"/>
    <w:rsid w:val="0076559F"/>
    <w:rsid w:val="00766F1B"/>
    <w:rsid w:val="00770754"/>
    <w:rsid w:val="00770A41"/>
    <w:rsid w:val="00770E39"/>
    <w:rsid w:val="0077261B"/>
    <w:rsid w:val="00773A20"/>
    <w:rsid w:val="007745A8"/>
    <w:rsid w:val="00775D82"/>
    <w:rsid w:val="00776091"/>
    <w:rsid w:val="0077640F"/>
    <w:rsid w:val="00776759"/>
    <w:rsid w:val="00777509"/>
    <w:rsid w:val="007803A6"/>
    <w:rsid w:val="0078043F"/>
    <w:rsid w:val="007805D8"/>
    <w:rsid w:val="00781759"/>
    <w:rsid w:val="007822A7"/>
    <w:rsid w:val="0078268F"/>
    <w:rsid w:val="00782A47"/>
    <w:rsid w:val="00783108"/>
    <w:rsid w:val="0078408D"/>
    <w:rsid w:val="00784F34"/>
    <w:rsid w:val="0078596E"/>
    <w:rsid w:val="00785DF6"/>
    <w:rsid w:val="007874E7"/>
    <w:rsid w:val="007876BF"/>
    <w:rsid w:val="00787764"/>
    <w:rsid w:val="00787E44"/>
    <w:rsid w:val="0079012E"/>
    <w:rsid w:val="00790204"/>
    <w:rsid w:val="0079055C"/>
    <w:rsid w:val="007910D9"/>
    <w:rsid w:val="00793A22"/>
    <w:rsid w:val="007947FA"/>
    <w:rsid w:val="007954B7"/>
    <w:rsid w:val="00795A09"/>
    <w:rsid w:val="00796FCE"/>
    <w:rsid w:val="00797791"/>
    <w:rsid w:val="00797BD3"/>
    <w:rsid w:val="007A1E50"/>
    <w:rsid w:val="007A2D3B"/>
    <w:rsid w:val="007A3892"/>
    <w:rsid w:val="007A4546"/>
    <w:rsid w:val="007A4D22"/>
    <w:rsid w:val="007A588D"/>
    <w:rsid w:val="007A5D42"/>
    <w:rsid w:val="007B0196"/>
    <w:rsid w:val="007B0609"/>
    <w:rsid w:val="007B07C0"/>
    <w:rsid w:val="007B0FA4"/>
    <w:rsid w:val="007B11EE"/>
    <w:rsid w:val="007B200A"/>
    <w:rsid w:val="007B2D52"/>
    <w:rsid w:val="007B3351"/>
    <w:rsid w:val="007B5791"/>
    <w:rsid w:val="007B720E"/>
    <w:rsid w:val="007C192B"/>
    <w:rsid w:val="007C23EC"/>
    <w:rsid w:val="007C399B"/>
    <w:rsid w:val="007C40ED"/>
    <w:rsid w:val="007C5F76"/>
    <w:rsid w:val="007C757F"/>
    <w:rsid w:val="007C7C31"/>
    <w:rsid w:val="007D019B"/>
    <w:rsid w:val="007D04E0"/>
    <w:rsid w:val="007D0DBC"/>
    <w:rsid w:val="007D24AF"/>
    <w:rsid w:val="007D2C5D"/>
    <w:rsid w:val="007D5C8A"/>
    <w:rsid w:val="007D5DCB"/>
    <w:rsid w:val="007D626A"/>
    <w:rsid w:val="007D67B4"/>
    <w:rsid w:val="007D6F38"/>
    <w:rsid w:val="007D72B7"/>
    <w:rsid w:val="007E0110"/>
    <w:rsid w:val="007E122C"/>
    <w:rsid w:val="007E1881"/>
    <w:rsid w:val="007E2043"/>
    <w:rsid w:val="007E281B"/>
    <w:rsid w:val="007E5FF3"/>
    <w:rsid w:val="007E69B6"/>
    <w:rsid w:val="007E7640"/>
    <w:rsid w:val="007F250E"/>
    <w:rsid w:val="007F2ED9"/>
    <w:rsid w:val="007F3655"/>
    <w:rsid w:val="007F3CAB"/>
    <w:rsid w:val="007F4282"/>
    <w:rsid w:val="007F4A97"/>
    <w:rsid w:val="007F5ABC"/>
    <w:rsid w:val="008001C9"/>
    <w:rsid w:val="00800AA7"/>
    <w:rsid w:val="00801C42"/>
    <w:rsid w:val="00801DC6"/>
    <w:rsid w:val="008021C2"/>
    <w:rsid w:val="0080465A"/>
    <w:rsid w:val="008055A3"/>
    <w:rsid w:val="0080584D"/>
    <w:rsid w:val="0081175E"/>
    <w:rsid w:val="0081256A"/>
    <w:rsid w:val="008131EA"/>
    <w:rsid w:val="00814C59"/>
    <w:rsid w:val="00814FAB"/>
    <w:rsid w:val="0081561B"/>
    <w:rsid w:val="008167BD"/>
    <w:rsid w:val="008175C1"/>
    <w:rsid w:val="00820E68"/>
    <w:rsid w:val="0082145C"/>
    <w:rsid w:val="00821784"/>
    <w:rsid w:val="00821A41"/>
    <w:rsid w:val="0082200D"/>
    <w:rsid w:val="0082278C"/>
    <w:rsid w:val="00823766"/>
    <w:rsid w:val="00823C10"/>
    <w:rsid w:val="00823E73"/>
    <w:rsid w:val="00825258"/>
    <w:rsid w:val="0082535E"/>
    <w:rsid w:val="00826332"/>
    <w:rsid w:val="00827C34"/>
    <w:rsid w:val="00827E80"/>
    <w:rsid w:val="008304F7"/>
    <w:rsid w:val="00830E52"/>
    <w:rsid w:val="008313E1"/>
    <w:rsid w:val="0083194C"/>
    <w:rsid w:val="008320CB"/>
    <w:rsid w:val="0083226A"/>
    <w:rsid w:val="00832F28"/>
    <w:rsid w:val="00833FC4"/>
    <w:rsid w:val="008349AF"/>
    <w:rsid w:val="00834BB9"/>
    <w:rsid w:val="008367DD"/>
    <w:rsid w:val="00840C58"/>
    <w:rsid w:val="008415C7"/>
    <w:rsid w:val="0084217E"/>
    <w:rsid w:val="00842B6D"/>
    <w:rsid w:val="00842C4A"/>
    <w:rsid w:val="00843AFE"/>
    <w:rsid w:val="00843C00"/>
    <w:rsid w:val="00843D99"/>
    <w:rsid w:val="00843F29"/>
    <w:rsid w:val="00844FA2"/>
    <w:rsid w:val="00845017"/>
    <w:rsid w:val="00845211"/>
    <w:rsid w:val="0084604E"/>
    <w:rsid w:val="00847086"/>
    <w:rsid w:val="00850E1E"/>
    <w:rsid w:val="00851DC7"/>
    <w:rsid w:val="008520E5"/>
    <w:rsid w:val="008533B7"/>
    <w:rsid w:val="00853529"/>
    <w:rsid w:val="00854E3F"/>
    <w:rsid w:val="00855DD5"/>
    <w:rsid w:val="00857887"/>
    <w:rsid w:val="00857929"/>
    <w:rsid w:val="00860AFD"/>
    <w:rsid w:val="00861291"/>
    <w:rsid w:val="00861301"/>
    <w:rsid w:val="00862D6C"/>
    <w:rsid w:val="0086338B"/>
    <w:rsid w:val="00864146"/>
    <w:rsid w:val="00864B8D"/>
    <w:rsid w:val="00864F25"/>
    <w:rsid w:val="00864F4D"/>
    <w:rsid w:val="0086577E"/>
    <w:rsid w:val="008705BF"/>
    <w:rsid w:val="00871D5E"/>
    <w:rsid w:val="00871D6F"/>
    <w:rsid w:val="00872AD8"/>
    <w:rsid w:val="00874596"/>
    <w:rsid w:val="00874A8F"/>
    <w:rsid w:val="008759A1"/>
    <w:rsid w:val="00876312"/>
    <w:rsid w:val="00877DA9"/>
    <w:rsid w:val="00877E85"/>
    <w:rsid w:val="0088013B"/>
    <w:rsid w:val="0088149F"/>
    <w:rsid w:val="00881F80"/>
    <w:rsid w:val="008823FC"/>
    <w:rsid w:val="00882967"/>
    <w:rsid w:val="00882B71"/>
    <w:rsid w:val="00882DF9"/>
    <w:rsid w:val="00883321"/>
    <w:rsid w:val="00883A3A"/>
    <w:rsid w:val="008854F2"/>
    <w:rsid w:val="008858DC"/>
    <w:rsid w:val="00886323"/>
    <w:rsid w:val="00887430"/>
    <w:rsid w:val="00887E05"/>
    <w:rsid w:val="00890039"/>
    <w:rsid w:val="0089032B"/>
    <w:rsid w:val="00890BD5"/>
    <w:rsid w:val="00890CDF"/>
    <w:rsid w:val="00891791"/>
    <w:rsid w:val="008926A7"/>
    <w:rsid w:val="00892E49"/>
    <w:rsid w:val="00892EC7"/>
    <w:rsid w:val="00893340"/>
    <w:rsid w:val="00894A82"/>
    <w:rsid w:val="00895805"/>
    <w:rsid w:val="008968A1"/>
    <w:rsid w:val="008A0407"/>
    <w:rsid w:val="008A04FE"/>
    <w:rsid w:val="008A26C8"/>
    <w:rsid w:val="008A2F49"/>
    <w:rsid w:val="008A3502"/>
    <w:rsid w:val="008A4550"/>
    <w:rsid w:val="008A468A"/>
    <w:rsid w:val="008A486F"/>
    <w:rsid w:val="008A4A0A"/>
    <w:rsid w:val="008A50A4"/>
    <w:rsid w:val="008A5E91"/>
    <w:rsid w:val="008A5F34"/>
    <w:rsid w:val="008A620D"/>
    <w:rsid w:val="008A6876"/>
    <w:rsid w:val="008A6AEA"/>
    <w:rsid w:val="008A779C"/>
    <w:rsid w:val="008A7D8A"/>
    <w:rsid w:val="008B1986"/>
    <w:rsid w:val="008B32BD"/>
    <w:rsid w:val="008B363F"/>
    <w:rsid w:val="008B460A"/>
    <w:rsid w:val="008B49F6"/>
    <w:rsid w:val="008B5276"/>
    <w:rsid w:val="008B5645"/>
    <w:rsid w:val="008B6131"/>
    <w:rsid w:val="008B6B7A"/>
    <w:rsid w:val="008B78B3"/>
    <w:rsid w:val="008C088E"/>
    <w:rsid w:val="008C14D7"/>
    <w:rsid w:val="008C152B"/>
    <w:rsid w:val="008C1AD3"/>
    <w:rsid w:val="008C21CF"/>
    <w:rsid w:val="008C257B"/>
    <w:rsid w:val="008C2C4A"/>
    <w:rsid w:val="008C3529"/>
    <w:rsid w:val="008C3A1E"/>
    <w:rsid w:val="008C4E2A"/>
    <w:rsid w:val="008C6466"/>
    <w:rsid w:val="008C6640"/>
    <w:rsid w:val="008C6F1C"/>
    <w:rsid w:val="008C7447"/>
    <w:rsid w:val="008C7AF0"/>
    <w:rsid w:val="008C7B22"/>
    <w:rsid w:val="008D0A29"/>
    <w:rsid w:val="008D0A44"/>
    <w:rsid w:val="008D29E1"/>
    <w:rsid w:val="008D3219"/>
    <w:rsid w:val="008D375C"/>
    <w:rsid w:val="008D431B"/>
    <w:rsid w:val="008D4809"/>
    <w:rsid w:val="008D4ED5"/>
    <w:rsid w:val="008D54A2"/>
    <w:rsid w:val="008D558F"/>
    <w:rsid w:val="008D79DB"/>
    <w:rsid w:val="008D7A4F"/>
    <w:rsid w:val="008E08C9"/>
    <w:rsid w:val="008E1AFD"/>
    <w:rsid w:val="008E3D2A"/>
    <w:rsid w:val="008E41F7"/>
    <w:rsid w:val="008E51C1"/>
    <w:rsid w:val="008E5650"/>
    <w:rsid w:val="008E5ED9"/>
    <w:rsid w:val="008E7C5C"/>
    <w:rsid w:val="008E7D50"/>
    <w:rsid w:val="008F085E"/>
    <w:rsid w:val="008F17DA"/>
    <w:rsid w:val="008F1BEF"/>
    <w:rsid w:val="008F3B6B"/>
    <w:rsid w:val="008F3C4D"/>
    <w:rsid w:val="008F402D"/>
    <w:rsid w:val="008F5A79"/>
    <w:rsid w:val="008F605C"/>
    <w:rsid w:val="008F798B"/>
    <w:rsid w:val="00902013"/>
    <w:rsid w:val="00902056"/>
    <w:rsid w:val="0090341C"/>
    <w:rsid w:val="0090556E"/>
    <w:rsid w:val="00911BFA"/>
    <w:rsid w:val="00912032"/>
    <w:rsid w:val="00912A58"/>
    <w:rsid w:val="00913A6D"/>
    <w:rsid w:val="00915338"/>
    <w:rsid w:val="009155C0"/>
    <w:rsid w:val="00916228"/>
    <w:rsid w:val="00916D5B"/>
    <w:rsid w:val="0091771F"/>
    <w:rsid w:val="00917C48"/>
    <w:rsid w:val="00921904"/>
    <w:rsid w:val="00922002"/>
    <w:rsid w:val="00922FDB"/>
    <w:rsid w:val="00923406"/>
    <w:rsid w:val="00924766"/>
    <w:rsid w:val="00924EFA"/>
    <w:rsid w:val="00926617"/>
    <w:rsid w:val="00926AEC"/>
    <w:rsid w:val="0092731E"/>
    <w:rsid w:val="009277B4"/>
    <w:rsid w:val="009279C6"/>
    <w:rsid w:val="00930202"/>
    <w:rsid w:val="009304BB"/>
    <w:rsid w:val="00930A93"/>
    <w:rsid w:val="00931467"/>
    <w:rsid w:val="00931A78"/>
    <w:rsid w:val="00931F97"/>
    <w:rsid w:val="00932957"/>
    <w:rsid w:val="009349B2"/>
    <w:rsid w:val="00934B02"/>
    <w:rsid w:val="00935687"/>
    <w:rsid w:val="00935C53"/>
    <w:rsid w:val="00935D12"/>
    <w:rsid w:val="00936C9A"/>
    <w:rsid w:val="0093782D"/>
    <w:rsid w:val="009411CE"/>
    <w:rsid w:val="00944A45"/>
    <w:rsid w:val="00944BDF"/>
    <w:rsid w:val="00944FDC"/>
    <w:rsid w:val="00946CBA"/>
    <w:rsid w:val="00946D7B"/>
    <w:rsid w:val="00947930"/>
    <w:rsid w:val="00947E03"/>
    <w:rsid w:val="00950964"/>
    <w:rsid w:val="00950B0B"/>
    <w:rsid w:val="00951451"/>
    <w:rsid w:val="00951701"/>
    <w:rsid w:val="00952B20"/>
    <w:rsid w:val="00953710"/>
    <w:rsid w:val="00953AF5"/>
    <w:rsid w:val="00953CB2"/>
    <w:rsid w:val="00953CE0"/>
    <w:rsid w:val="00954B4D"/>
    <w:rsid w:val="00954F1F"/>
    <w:rsid w:val="00955C6A"/>
    <w:rsid w:val="009568A3"/>
    <w:rsid w:val="0095725E"/>
    <w:rsid w:val="00960058"/>
    <w:rsid w:val="00961841"/>
    <w:rsid w:val="00961D16"/>
    <w:rsid w:val="00961DB6"/>
    <w:rsid w:val="00962D89"/>
    <w:rsid w:val="00965710"/>
    <w:rsid w:val="0096590D"/>
    <w:rsid w:val="0096593E"/>
    <w:rsid w:val="0096598A"/>
    <w:rsid w:val="00967863"/>
    <w:rsid w:val="009678B9"/>
    <w:rsid w:val="00967B84"/>
    <w:rsid w:val="00971CD3"/>
    <w:rsid w:val="00972606"/>
    <w:rsid w:val="00972ABF"/>
    <w:rsid w:val="00972BB1"/>
    <w:rsid w:val="00972CA9"/>
    <w:rsid w:val="00974079"/>
    <w:rsid w:val="009741C3"/>
    <w:rsid w:val="00974E95"/>
    <w:rsid w:val="0097501B"/>
    <w:rsid w:val="009758E5"/>
    <w:rsid w:val="00975CD4"/>
    <w:rsid w:val="00975E88"/>
    <w:rsid w:val="0097648D"/>
    <w:rsid w:val="00976956"/>
    <w:rsid w:val="009817E3"/>
    <w:rsid w:val="009824D4"/>
    <w:rsid w:val="00982935"/>
    <w:rsid w:val="00983171"/>
    <w:rsid w:val="00983A54"/>
    <w:rsid w:val="00984894"/>
    <w:rsid w:val="009858B8"/>
    <w:rsid w:val="00985A19"/>
    <w:rsid w:val="00985F79"/>
    <w:rsid w:val="00986758"/>
    <w:rsid w:val="00987B8E"/>
    <w:rsid w:val="009900CE"/>
    <w:rsid w:val="00990630"/>
    <w:rsid w:val="00990A95"/>
    <w:rsid w:val="009927C4"/>
    <w:rsid w:val="00992D58"/>
    <w:rsid w:val="00995B7F"/>
    <w:rsid w:val="00997605"/>
    <w:rsid w:val="009979DF"/>
    <w:rsid w:val="00997F0D"/>
    <w:rsid w:val="00997FB9"/>
    <w:rsid w:val="009A0531"/>
    <w:rsid w:val="009A0F9E"/>
    <w:rsid w:val="009A36E6"/>
    <w:rsid w:val="009A3BA9"/>
    <w:rsid w:val="009A3EE6"/>
    <w:rsid w:val="009A433E"/>
    <w:rsid w:val="009A500A"/>
    <w:rsid w:val="009A6275"/>
    <w:rsid w:val="009B02B1"/>
    <w:rsid w:val="009B02BA"/>
    <w:rsid w:val="009B1721"/>
    <w:rsid w:val="009B1AE7"/>
    <w:rsid w:val="009B2EF5"/>
    <w:rsid w:val="009B3477"/>
    <w:rsid w:val="009B5020"/>
    <w:rsid w:val="009B5672"/>
    <w:rsid w:val="009B5917"/>
    <w:rsid w:val="009B6F8D"/>
    <w:rsid w:val="009B7A82"/>
    <w:rsid w:val="009B7B01"/>
    <w:rsid w:val="009B7B04"/>
    <w:rsid w:val="009C0BD2"/>
    <w:rsid w:val="009C1EAF"/>
    <w:rsid w:val="009C2857"/>
    <w:rsid w:val="009C3F6B"/>
    <w:rsid w:val="009C5222"/>
    <w:rsid w:val="009C525B"/>
    <w:rsid w:val="009C57DF"/>
    <w:rsid w:val="009C755A"/>
    <w:rsid w:val="009C7735"/>
    <w:rsid w:val="009C7C9F"/>
    <w:rsid w:val="009D013E"/>
    <w:rsid w:val="009D04C1"/>
    <w:rsid w:val="009D0D2E"/>
    <w:rsid w:val="009D1A24"/>
    <w:rsid w:val="009D32B4"/>
    <w:rsid w:val="009D3516"/>
    <w:rsid w:val="009D423E"/>
    <w:rsid w:val="009D459E"/>
    <w:rsid w:val="009D4B68"/>
    <w:rsid w:val="009D606C"/>
    <w:rsid w:val="009D6461"/>
    <w:rsid w:val="009D7142"/>
    <w:rsid w:val="009E1C33"/>
    <w:rsid w:val="009E231C"/>
    <w:rsid w:val="009E2D15"/>
    <w:rsid w:val="009E5DCE"/>
    <w:rsid w:val="009E62B3"/>
    <w:rsid w:val="009E6EE7"/>
    <w:rsid w:val="009E7A72"/>
    <w:rsid w:val="009F008E"/>
    <w:rsid w:val="009F1361"/>
    <w:rsid w:val="009F2506"/>
    <w:rsid w:val="009F3ED0"/>
    <w:rsid w:val="009F4C59"/>
    <w:rsid w:val="009F51C3"/>
    <w:rsid w:val="009F524C"/>
    <w:rsid w:val="009F5417"/>
    <w:rsid w:val="009F5F4C"/>
    <w:rsid w:val="009F7188"/>
    <w:rsid w:val="009F7CB0"/>
    <w:rsid w:val="00A01403"/>
    <w:rsid w:val="00A01460"/>
    <w:rsid w:val="00A01C39"/>
    <w:rsid w:val="00A01E59"/>
    <w:rsid w:val="00A02400"/>
    <w:rsid w:val="00A02785"/>
    <w:rsid w:val="00A02B60"/>
    <w:rsid w:val="00A02E45"/>
    <w:rsid w:val="00A0362B"/>
    <w:rsid w:val="00A04348"/>
    <w:rsid w:val="00A043A4"/>
    <w:rsid w:val="00A04928"/>
    <w:rsid w:val="00A0495C"/>
    <w:rsid w:val="00A062B3"/>
    <w:rsid w:val="00A06FB5"/>
    <w:rsid w:val="00A10C8B"/>
    <w:rsid w:val="00A116EC"/>
    <w:rsid w:val="00A118DA"/>
    <w:rsid w:val="00A11BA0"/>
    <w:rsid w:val="00A11DCF"/>
    <w:rsid w:val="00A13148"/>
    <w:rsid w:val="00A1433C"/>
    <w:rsid w:val="00A143D2"/>
    <w:rsid w:val="00A1696F"/>
    <w:rsid w:val="00A2056B"/>
    <w:rsid w:val="00A205FF"/>
    <w:rsid w:val="00A20CDF"/>
    <w:rsid w:val="00A220EE"/>
    <w:rsid w:val="00A23A4F"/>
    <w:rsid w:val="00A2456C"/>
    <w:rsid w:val="00A24696"/>
    <w:rsid w:val="00A25406"/>
    <w:rsid w:val="00A2560D"/>
    <w:rsid w:val="00A25B92"/>
    <w:rsid w:val="00A26851"/>
    <w:rsid w:val="00A31040"/>
    <w:rsid w:val="00A319AB"/>
    <w:rsid w:val="00A32490"/>
    <w:rsid w:val="00A3297C"/>
    <w:rsid w:val="00A33BA6"/>
    <w:rsid w:val="00A34235"/>
    <w:rsid w:val="00A345C2"/>
    <w:rsid w:val="00A34C45"/>
    <w:rsid w:val="00A36B4B"/>
    <w:rsid w:val="00A40610"/>
    <w:rsid w:val="00A40CC8"/>
    <w:rsid w:val="00A40FEF"/>
    <w:rsid w:val="00A420C8"/>
    <w:rsid w:val="00A422A4"/>
    <w:rsid w:val="00A4295D"/>
    <w:rsid w:val="00A42C3E"/>
    <w:rsid w:val="00A437D7"/>
    <w:rsid w:val="00A4386A"/>
    <w:rsid w:val="00A43ABD"/>
    <w:rsid w:val="00A44A40"/>
    <w:rsid w:val="00A45152"/>
    <w:rsid w:val="00A452A6"/>
    <w:rsid w:val="00A477A3"/>
    <w:rsid w:val="00A508EA"/>
    <w:rsid w:val="00A50B44"/>
    <w:rsid w:val="00A52153"/>
    <w:rsid w:val="00A53AAC"/>
    <w:rsid w:val="00A53AB2"/>
    <w:rsid w:val="00A53E84"/>
    <w:rsid w:val="00A54B82"/>
    <w:rsid w:val="00A55139"/>
    <w:rsid w:val="00A5611B"/>
    <w:rsid w:val="00A603D4"/>
    <w:rsid w:val="00A60A43"/>
    <w:rsid w:val="00A61E52"/>
    <w:rsid w:val="00A61EEA"/>
    <w:rsid w:val="00A623B7"/>
    <w:rsid w:val="00A63271"/>
    <w:rsid w:val="00A639E4"/>
    <w:rsid w:val="00A649B7"/>
    <w:rsid w:val="00A66572"/>
    <w:rsid w:val="00A670BD"/>
    <w:rsid w:val="00A6740E"/>
    <w:rsid w:val="00A67EA2"/>
    <w:rsid w:val="00A70B29"/>
    <w:rsid w:val="00A70B5D"/>
    <w:rsid w:val="00A70E1E"/>
    <w:rsid w:val="00A71B09"/>
    <w:rsid w:val="00A72518"/>
    <w:rsid w:val="00A72E6A"/>
    <w:rsid w:val="00A74F85"/>
    <w:rsid w:val="00A75245"/>
    <w:rsid w:val="00A75965"/>
    <w:rsid w:val="00A763EB"/>
    <w:rsid w:val="00A7645B"/>
    <w:rsid w:val="00A80035"/>
    <w:rsid w:val="00A81223"/>
    <w:rsid w:val="00A81E2B"/>
    <w:rsid w:val="00A847B2"/>
    <w:rsid w:val="00A847ED"/>
    <w:rsid w:val="00A85393"/>
    <w:rsid w:val="00A865F0"/>
    <w:rsid w:val="00A86FA5"/>
    <w:rsid w:val="00A905EC"/>
    <w:rsid w:val="00A93747"/>
    <w:rsid w:val="00A94306"/>
    <w:rsid w:val="00A949A5"/>
    <w:rsid w:val="00A9546B"/>
    <w:rsid w:val="00A95A0B"/>
    <w:rsid w:val="00A95C9E"/>
    <w:rsid w:val="00A965B9"/>
    <w:rsid w:val="00A965C6"/>
    <w:rsid w:val="00AA0C49"/>
    <w:rsid w:val="00AA0DDB"/>
    <w:rsid w:val="00AA1602"/>
    <w:rsid w:val="00AA2045"/>
    <w:rsid w:val="00AA2A8A"/>
    <w:rsid w:val="00AA31B6"/>
    <w:rsid w:val="00AA3962"/>
    <w:rsid w:val="00AA5CB5"/>
    <w:rsid w:val="00AA6C97"/>
    <w:rsid w:val="00AB006A"/>
    <w:rsid w:val="00AB08C3"/>
    <w:rsid w:val="00AB170C"/>
    <w:rsid w:val="00AB4215"/>
    <w:rsid w:val="00AB4A2D"/>
    <w:rsid w:val="00AB667D"/>
    <w:rsid w:val="00AB686A"/>
    <w:rsid w:val="00AB6F6E"/>
    <w:rsid w:val="00AB7231"/>
    <w:rsid w:val="00AB752D"/>
    <w:rsid w:val="00AC046C"/>
    <w:rsid w:val="00AC0DED"/>
    <w:rsid w:val="00AC15EB"/>
    <w:rsid w:val="00AC19A4"/>
    <w:rsid w:val="00AC19B1"/>
    <w:rsid w:val="00AC34C3"/>
    <w:rsid w:val="00AC37C4"/>
    <w:rsid w:val="00AC4013"/>
    <w:rsid w:val="00AC4EEF"/>
    <w:rsid w:val="00AC5542"/>
    <w:rsid w:val="00AC573D"/>
    <w:rsid w:val="00AC5DA6"/>
    <w:rsid w:val="00AC6321"/>
    <w:rsid w:val="00AC68DE"/>
    <w:rsid w:val="00AC68E7"/>
    <w:rsid w:val="00AD05BD"/>
    <w:rsid w:val="00AD2230"/>
    <w:rsid w:val="00AD24E3"/>
    <w:rsid w:val="00AD2849"/>
    <w:rsid w:val="00AD2BFC"/>
    <w:rsid w:val="00AD30C7"/>
    <w:rsid w:val="00AD3DB8"/>
    <w:rsid w:val="00AD5149"/>
    <w:rsid w:val="00AD5282"/>
    <w:rsid w:val="00AD67F0"/>
    <w:rsid w:val="00AD682A"/>
    <w:rsid w:val="00AD71A8"/>
    <w:rsid w:val="00AD7B17"/>
    <w:rsid w:val="00AD7C56"/>
    <w:rsid w:val="00AE00AA"/>
    <w:rsid w:val="00AE0285"/>
    <w:rsid w:val="00AE1A4C"/>
    <w:rsid w:val="00AE325A"/>
    <w:rsid w:val="00AE3A3C"/>
    <w:rsid w:val="00AE3B7F"/>
    <w:rsid w:val="00AE3ED6"/>
    <w:rsid w:val="00AE3F77"/>
    <w:rsid w:val="00AE4F22"/>
    <w:rsid w:val="00AE65B1"/>
    <w:rsid w:val="00AE6C7C"/>
    <w:rsid w:val="00AE6D04"/>
    <w:rsid w:val="00AE760D"/>
    <w:rsid w:val="00AE787F"/>
    <w:rsid w:val="00AF1D83"/>
    <w:rsid w:val="00AF2F97"/>
    <w:rsid w:val="00AF3892"/>
    <w:rsid w:val="00AF3D7B"/>
    <w:rsid w:val="00AF3DA2"/>
    <w:rsid w:val="00AF4A64"/>
    <w:rsid w:val="00AF4E01"/>
    <w:rsid w:val="00AF4E05"/>
    <w:rsid w:val="00AF5699"/>
    <w:rsid w:val="00AF5F7C"/>
    <w:rsid w:val="00AF791C"/>
    <w:rsid w:val="00AF79FE"/>
    <w:rsid w:val="00B001C8"/>
    <w:rsid w:val="00B02565"/>
    <w:rsid w:val="00B02C07"/>
    <w:rsid w:val="00B03500"/>
    <w:rsid w:val="00B03C5C"/>
    <w:rsid w:val="00B0459E"/>
    <w:rsid w:val="00B0546E"/>
    <w:rsid w:val="00B067F1"/>
    <w:rsid w:val="00B06CB2"/>
    <w:rsid w:val="00B076D7"/>
    <w:rsid w:val="00B113C7"/>
    <w:rsid w:val="00B11D2F"/>
    <w:rsid w:val="00B1250A"/>
    <w:rsid w:val="00B13C21"/>
    <w:rsid w:val="00B143BD"/>
    <w:rsid w:val="00B14706"/>
    <w:rsid w:val="00B14786"/>
    <w:rsid w:val="00B15626"/>
    <w:rsid w:val="00B16752"/>
    <w:rsid w:val="00B178C7"/>
    <w:rsid w:val="00B17EC8"/>
    <w:rsid w:val="00B20386"/>
    <w:rsid w:val="00B217B9"/>
    <w:rsid w:val="00B2195B"/>
    <w:rsid w:val="00B21BD2"/>
    <w:rsid w:val="00B21C43"/>
    <w:rsid w:val="00B2435F"/>
    <w:rsid w:val="00B2456D"/>
    <w:rsid w:val="00B2477C"/>
    <w:rsid w:val="00B26D65"/>
    <w:rsid w:val="00B27939"/>
    <w:rsid w:val="00B27DB5"/>
    <w:rsid w:val="00B3029E"/>
    <w:rsid w:val="00B321C8"/>
    <w:rsid w:val="00B33452"/>
    <w:rsid w:val="00B34D1C"/>
    <w:rsid w:val="00B37521"/>
    <w:rsid w:val="00B403A0"/>
    <w:rsid w:val="00B40888"/>
    <w:rsid w:val="00B40A53"/>
    <w:rsid w:val="00B40C27"/>
    <w:rsid w:val="00B437FE"/>
    <w:rsid w:val="00B43A3A"/>
    <w:rsid w:val="00B442D9"/>
    <w:rsid w:val="00B44A67"/>
    <w:rsid w:val="00B44BAC"/>
    <w:rsid w:val="00B4511B"/>
    <w:rsid w:val="00B45CA6"/>
    <w:rsid w:val="00B500B0"/>
    <w:rsid w:val="00B51573"/>
    <w:rsid w:val="00B5172C"/>
    <w:rsid w:val="00B5182F"/>
    <w:rsid w:val="00B51C6F"/>
    <w:rsid w:val="00B5257A"/>
    <w:rsid w:val="00B52FE9"/>
    <w:rsid w:val="00B53D62"/>
    <w:rsid w:val="00B53F59"/>
    <w:rsid w:val="00B5407F"/>
    <w:rsid w:val="00B54B3C"/>
    <w:rsid w:val="00B54BC7"/>
    <w:rsid w:val="00B54D02"/>
    <w:rsid w:val="00B5536D"/>
    <w:rsid w:val="00B5560C"/>
    <w:rsid w:val="00B56BC3"/>
    <w:rsid w:val="00B60562"/>
    <w:rsid w:val="00B6162A"/>
    <w:rsid w:val="00B61CCF"/>
    <w:rsid w:val="00B61D7E"/>
    <w:rsid w:val="00B62B94"/>
    <w:rsid w:val="00B64412"/>
    <w:rsid w:val="00B650B0"/>
    <w:rsid w:val="00B65CFA"/>
    <w:rsid w:val="00B65E0D"/>
    <w:rsid w:val="00B6723A"/>
    <w:rsid w:val="00B6786D"/>
    <w:rsid w:val="00B67FD1"/>
    <w:rsid w:val="00B7014C"/>
    <w:rsid w:val="00B70CE3"/>
    <w:rsid w:val="00B71825"/>
    <w:rsid w:val="00B71AC5"/>
    <w:rsid w:val="00B73585"/>
    <w:rsid w:val="00B75672"/>
    <w:rsid w:val="00B76410"/>
    <w:rsid w:val="00B76670"/>
    <w:rsid w:val="00B76E23"/>
    <w:rsid w:val="00B77E1A"/>
    <w:rsid w:val="00B80274"/>
    <w:rsid w:val="00B80B76"/>
    <w:rsid w:val="00B81801"/>
    <w:rsid w:val="00B8182A"/>
    <w:rsid w:val="00B831BC"/>
    <w:rsid w:val="00B839D2"/>
    <w:rsid w:val="00B84A4F"/>
    <w:rsid w:val="00B85018"/>
    <w:rsid w:val="00B86920"/>
    <w:rsid w:val="00B86A58"/>
    <w:rsid w:val="00B86FB4"/>
    <w:rsid w:val="00B87E99"/>
    <w:rsid w:val="00B90D99"/>
    <w:rsid w:val="00B90E38"/>
    <w:rsid w:val="00B90F70"/>
    <w:rsid w:val="00B90FD8"/>
    <w:rsid w:val="00B91A93"/>
    <w:rsid w:val="00B92F1F"/>
    <w:rsid w:val="00B9434C"/>
    <w:rsid w:val="00B957F4"/>
    <w:rsid w:val="00BA069F"/>
    <w:rsid w:val="00BA1B8D"/>
    <w:rsid w:val="00BA1C4A"/>
    <w:rsid w:val="00BA4266"/>
    <w:rsid w:val="00BA45A4"/>
    <w:rsid w:val="00BA4FE8"/>
    <w:rsid w:val="00BA624E"/>
    <w:rsid w:val="00BA6C3A"/>
    <w:rsid w:val="00BA798B"/>
    <w:rsid w:val="00BB0336"/>
    <w:rsid w:val="00BB035E"/>
    <w:rsid w:val="00BB13C5"/>
    <w:rsid w:val="00BB1637"/>
    <w:rsid w:val="00BB2343"/>
    <w:rsid w:val="00BB2402"/>
    <w:rsid w:val="00BB2C51"/>
    <w:rsid w:val="00BB2C81"/>
    <w:rsid w:val="00BB3030"/>
    <w:rsid w:val="00BB3DC3"/>
    <w:rsid w:val="00BB5047"/>
    <w:rsid w:val="00BB6042"/>
    <w:rsid w:val="00BB6359"/>
    <w:rsid w:val="00BB6E79"/>
    <w:rsid w:val="00BB7645"/>
    <w:rsid w:val="00BB7FB7"/>
    <w:rsid w:val="00BC00D1"/>
    <w:rsid w:val="00BC0AFB"/>
    <w:rsid w:val="00BC1163"/>
    <w:rsid w:val="00BC1198"/>
    <w:rsid w:val="00BC1260"/>
    <w:rsid w:val="00BC12CE"/>
    <w:rsid w:val="00BC15FF"/>
    <w:rsid w:val="00BC269D"/>
    <w:rsid w:val="00BC2B5A"/>
    <w:rsid w:val="00BC3616"/>
    <w:rsid w:val="00BC4E90"/>
    <w:rsid w:val="00BC583A"/>
    <w:rsid w:val="00BC58AF"/>
    <w:rsid w:val="00BC7B68"/>
    <w:rsid w:val="00BD0500"/>
    <w:rsid w:val="00BD0B12"/>
    <w:rsid w:val="00BD1594"/>
    <w:rsid w:val="00BD1743"/>
    <w:rsid w:val="00BD19DF"/>
    <w:rsid w:val="00BD47F5"/>
    <w:rsid w:val="00BD57FA"/>
    <w:rsid w:val="00BD59F1"/>
    <w:rsid w:val="00BD5ACB"/>
    <w:rsid w:val="00BD5B72"/>
    <w:rsid w:val="00BE05A4"/>
    <w:rsid w:val="00BE0B93"/>
    <w:rsid w:val="00BE11D8"/>
    <w:rsid w:val="00BE1579"/>
    <w:rsid w:val="00BE3EBA"/>
    <w:rsid w:val="00BE44CA"/>
    <w:rsid w:val="00BE4965"/>
    <w:rsid w:val="00BE6910"/>
    <w:rsid w:val="00BE6FCE"/>
    <w:rsid w:val="00BF0819"/>
    <w:rsid w:val="00BF180E"/>
    <w:rsid w:val="00BF2309"/>
    <w:rsid w:val="00BF3517"/>
    <w:rsid w:val="00BF3577"/>
    <w:rsid w:val="00BF5314"/>
    <w:rsid w:val="00BF5398"/>
    <w:rsid w:val="00BF6AD2"/>
    <w:rsid w:val="00BF7DB8"/>
    <w:rsid w:val="00C00052"/>
    <w:rsid w:val="00C01316"/>
    <w:rsid w:val="00C02020"/>
    <w:rsid w:val="00C02657"/>
    <w:rsid w:val="00C02B45"/>
    <w:rsid w:val="00C03AAB"/>
    <w:rsid w:val="00C050B9"/>
    <w:rsid w:val="00C0614F"/>
    <w:rsid w:val="00C070BA"/>
    <w:rsid w:val="00C07BBD"/>
    <w:rsid w:val="00C11203"/>
    <w:rsid w:val="00C11C2B"/>
    <w:rsid w:val="00C11F9E"/>
    <w:rsid w:val="00C12698"/>
    <w:rsid w:val="00C13DC2"/>
    <w:rsid w:val="00C13E84"/>
    <w:rsid w:val="00C140B9"/>
    <w:rsid w:val="00C143F1"/>
    <w:rsid w:val="00C14E5D"/>
    <w:rsid w:val="00C157E7"/>
    <w:rsid w:val="00C15C60"/>
    <w:rsid w:val="00C1674F"/>
    <w:rsid w:val="00C1720C"/>
    <w:rsid w:val="00C17D37"/>
    <w:rsid w:val="00C2083B"/>
    <w:rsid w:val="00C2091F"/>
    <w:rsid w:val="00C20B27"/>
    <w:rsid w:val="00C22612"/>
    <w:rsid w:val="00C22A02"/>
    <w:rsid w:val="00C238A9"/>
    <w:rsid w:val="00C238CB"/>
    <w:rsid w:val="00C24225"/>
    <w:rsid w:val="00C262D9"/>
    <w:rsid w:val="00C2759D"/>
    <w:rsid w:val="00C27D9A"/>
    <w:rsid w:val="00C309DB"/>
    <w:rsid w:val="00C31F63"/>
    <w:rsid w:val="00C342C1"/>
    <w:rsid w:val="00C3462D"/>
    <w:rsid w:val="00C34878"/>
    <w:rsid w:val="00C35500"/>
    <w:rsid w:val="00C3652B"/>
    <w:rsid w:val="00C37E4A"/>
    <w:rsid w:val="00C40122"/>
    <w:rsid w:val="00C41EBB"/>
    <w:rsid w:val="00C42C52"/>
    <w:rsid w:val="00C4534A"/>
    <w:rsid w:val="00C45D99"/>
    <w:rsid w:val="00C47E51"/>
    <w:rsid w:val="00C505FE"/>
    <w:rsid w:val="00C51FBE"/>
    <w:rsid w:val="00C527BF"/>
    <w:rsid w:val="00C52BE5"/>
    <w:rsid w:val="00C531BA"/>
    <w:rsid w:val="00C534E5"/>
    <w:rsid w:val="00C53886"/>
    <w:rsid w:val="00C53FC9"/>
    <w:rsid w:val="00C54491"/>
    <w:rsid w:val="00C54E88"/>
    <w:rsid w:val="00C54F31"/>
    <w:rsid w:val="00C55594"/>
    <w:rsid w:val="00C57541"/>
    <w:rsid w:val="00C60543"/>
    <w:rsid w:val="00C61312"/>
    <w:rsid w:val="00C615E2"/>
    <w:rsid w:val="00C617FA"/>
    <w:rsid w:val="00C62B40"/>
    <w:rsid w:val="00C66C88"/>
    <w:rsid w:val="00C702A1"/>
    <w:rsid w:val="00C70A79"/>
    <w:rsid w:val="00C719B6"/>
    <w:rsid w:val="00C71C96"/>
    <w:rsid w:val="00C72126"/>
    <w:rsid w:val="00C72B01"/>
    <w:rsid w:val="00C73669"/>
    <w:rsid w:val="00C74897"/>
    <w:rsid w:val="00C7663F"/>
    <w:rsid w:val="00C7741A"/>
    <w:rsid w:val="00C77673"/>
    <w:rsid w:val="00C800CC"/>
    <w:rsid w:val="00C804EA"/>
    <w:rsid w:val="00C80BAA"/>
    <w:rsid w:val="00C81946"/>
    <w:rsid w:val="00C84DBC"/>
    <w:rsid w:val="00C85520"/>
    <w:rsid w:val="00C85B9D"/>
    <w:rsid w:val="00C86C1A"/>
    <w:rsid w:val="00C92FAA"/>
    <w:rsid w:val="00C93633"/>
    <w:rsid w:val="00C9600D"/>
    <w:rsid w:val="00C9684D"/>
    <w:rsid w:val="00C96986"/>
    <w:rsid w:val="00CA0036"/>
    <w:rsid w:val="00CA35BF"/>
    <w:rsid w:val="00CA37DC"/>
    <w:rsid w:val="00CA46BA"/>
    <w:rsid w:val="00CA4874"/>
    <w:rsid w:val="00CA640C"/>
    <w:rsid w:val="00CB0DC7"/>
    <w:rsid w:val="00CB1207"/>
    <w:rsid w:val="00CB55E2"/>
    <w:rsid w:val="00CB5C76"/>
    <w:rsid w:val="00CB799A"/>
    <w:rsid w:val="00CC00DC"/>
    <w:rsid w:val="00CC1747"/>
    <w:rsid w:val="00CC196F"/>
    <w:rsid w:val="00CC1FB6"/>
    <w:rsid w:val="00CC25B4"/>
    <w:rsid w:val="00CC2C58"/>
    <w:rsid w:val="00CC3E27"/>
    <w:rsid w:val="00CC4191"/>
    <w:rsid w:val="00CC4B51"/>
    <w:rsid w:val="00CC57DC"/>
    <w:rsid w:val="00CC60C9"/>
    <w:rsid w:val="00CC621D"/>
    <w:rsid w:val="00CC6DB5"/>
    <w:rsid w:val="00CD03DC"/>
    <w:rsid w:val="00CD1407"/>
    <w:rsid w:val="00CD2306"/>
    <w:rsid w:val="00CD3B4F"/>
    <w:rsid w:val="00CD5A19"/>
    <w:rsid w:val="00CD5BCD"/>
    <w:rsid w:val="00CD6F56"/>
    <w:rsid w:val="00CD7876"/>
    <w:rsid w:val="00CE365D"/>
    <w:rsid w:val="00CE423B"/>
    <w:rsid w:val="00CE447F"/>
    <w:rsid w:val="00CE58DC"/>
    <w:rsid w:val="00CE5AB1"/>
    <w:rsid w:val="00CE613D"/>
    <w:rsid w:val="00CE64FD"/>
    <w:rsid w:val="00CE6E77"/>
    <w:rsid w:val="00CF0291"/>
    <w:rsid w:val="00CF06F6"/>
    <w:rsid w:val="00CF1D03"/>
    <w:rsid w:val="00CF2BDF"/>
    <w:rsid w:val="00CF321A"/>
    <w:rsid w:val="00CF39AE"/>
    <w:rsid w:val="00CF3DC8"/>
    <w:rsid w:val="00CF404A"/>
    <w:rsid w:val="00CF4437"/>
    <w:rsid w:val="00CF575C"/>
    <w:rsid w:val="00CF67A9"/>
    <w:rsid w:val="00CF6CF9"/>
    <w:rsid w:val="00CF6F0D"/>
    <w:rsid w:val="00D02621"/>
    <w:rsid w:val="00D02739"/>
    <w:rsid w:val="00D02DEB"/>
    <w:rsid w:val="00D03454"/>
    <w:rsid w:val="00D03DB3"/>
    <w:rsid w:val="00D04F84"/>
    <w:rsid w:val="00D058DA"/>
    <w:rsid w:val="00D068A1"/>
    <w:rsid w:val="00D07967"/>
    <w:rsid w:val="00D1101C"/>
    <w:rsid w:val="00D112F3"/>
    <w:rsid w:val="00D1136E"/>
    <w:rsid w:val="00D1153B"/>
    <w:rsid w:val="00D11D89"/>
    <w:rsid w:val="00D12945"/>
    <w:rsid w:val="00D13458"/>
    <w:rsid w:val="00D15C27"/>
    <w:rsid w:val="00D165E4"/>
    <w:rsid w:val="00D17660"/>
    <w:rsid w:val="00D2028E"/>
    <w:rsid w:val="00D21E7A"/>
    <w:rsid w:val="00D22C76"/>
    <w:rsid w:val="00D23688"/>
    <w:rsid w:val="00D23961"/>
    <w:rsid w:val="00D2650A"/>
    <w:rsid w:val="00D2653D"/>
    <w:rsid w:val="00D26AAB"/>
    <w:rsid w:val="00D30843"/>
    <w:rsid w:val="00D320B7"/>
    <w:rsid w:val="00D3311A"/>
    <w:rsid w:val="00D34C90"/>
    <w:rsid w:val="00D36025"/>
    <w:rsid w:val="00D364D6"/>
    <w:rsid w:val="00D36F9A"/>
    <w:rsid w:val="00D373C1"/>
    <w:rsid w:val="00D37B0D"/>
    <w:rsid w:val="00D40003"/>
    <w:rsid w:val="00D40072"/>
    <w:rsid w:val="00D413CA"/>
    <w:rsid w:val="00D4212C"/>
    <w:rsid w:val="00D42D53"/>
    <w:rsid w:val="00D43D9E"/>
    <w:rsid w:val="00D449F1"/>
    <w:rsid w:val="00D461DA"/>
    <w:rsid w:val="00D4623E"/>
    <w:rsid w:val="00D46AB9"/>
    <w:rsid w:val="00D46DE8"/>
    <w:rsid w:val="00D47DF8"/>
    <w:rsid w:val="00D50147"/>
    <w:rsid w:val="00D50623"/>
    <w:rsid w:val="00D5066D"/>
    <w:rsid w:val="00D5088F"/>
    <w:rsid w:val="00D50B9A"/>
    <w:rsid w:val="00D50FDA"/>
    <w:rsid w:val="00D514CE"/>
    <w:rsid w:val="00D51558"/>
    <w:rsid w:val="00D533C2"/>
    <w:rsid w:val="00D54DE0"/>
    <w:rsid w:val="00D559AE"/>
    <w:rsid w:val="00D5684F"/>
    <w:rsid w:val="00D57701"/>
    <w:rsid w:val="00D57A45"/>
    <w:rsid w:val="00D611BE"/>
    <w:rsid w:val="00D6122A"/>
    <w:rsid w:val="00D614AF"/>
    <w:rsid w:val="00D62AF5"/>
    <w:rsid w:val="00D62E52"/>
    <w:rsid w:val="00D636DC"/>
    <w:rsid w:val="00D63C8A"/>
    <w:rsid w:val="00D6417C"/>
    <w:rsid w:val="00D64F69"/>
    <w:rsid w:val="00D6508E"/>
    <w:rsid w:val="00D65ADA"/>
    <w:rsid w:val="00D65CD3"/>
    <w:rsid w:val="00D65ED0"/>
    <w:rsid w:val="00D663F3"/>
    <w:rsid w:val="00D6670D"/>
    <w:rsid w:val="00D66A8B"/>
    <w:rsid w:val="00D70613"/>
    <w:rsid w:val="00D71C7B"/>
    <w:rsid w:val="00D721FA"/>
    <w:rsid w:val="00D733E3"/>
    <w:rsid w:val="00D75540"/>
    <w:rsid w:val="00D75771"/>
    <w:rsid w:val="00D75AC7"/>
    <w:rsid w:val="00D75FEE"/>
    <w:rsid w:val="00D80370"/>
    <w:rsid w:val="00D81812"/>
    <w:rsid w:val="00D81D48"/>
    <w:rsid w:val="00D82CC4"/>
    <w:rsid w:val="00D84FF5"/>
    <w:rsid w:val="00D85257"/>
    <w:rsid w:val="00D86867"/>
    <w:rsid w:val="00D86940"/>
    <w:rsid w:val="00D91628"/>
    <w:rsid w:val="00D91ED1"/>
    <w:rsid w:val="00D92B02"/>
    <w:rsid w:val="00D93C7F"/>
    <w:rsid w:val="00D952A2"/>
    <w:rsid w:val="00D956A5"/>
    <w:rsid w:val="00D959A1"/>
    <w:rsid w:val="00D978FD"/>
    <w:rsid w:val="00D9794B"/>
    <w:rsid w:val="00DA0B32"/>
    <w:rsid w:val="00DA1237"/>
    <w:rsid w:val="00DA1451"/>
    <w:rsid w:val="00DA1AEB"/>
    <w:rsid w:val="00DA23B3"/>
    <w:rsid w:val="00DA4B69"/>
    <w:rsid w:val="00DA6226"/>
    <w:rsid w:val="00DA7079"/>
    <w:rsid w:val="00DA7F45"/>
    <w:rsid w:val="00DB0261"/>
    <w:rsid w:val="00DB0ED0"/>
    <w:rsid w:val="00DB22DB"/>
    <w:rsid w:val="00DB375E"/>
    <w:rsid w:val="00DB3B36"/>
    <w:rsid w:val="00DB4054"/>
    <w:rsid w:val="00DB430C"/>
    <w:rsid w:val="00DB5023"/>
    <w:rsid w:val="00DB523D"/>
    <w:rsid w:val="00DB5618"/>
    <w:rsid w:val="00DB5F1F"/>
    <w:rsid w:val="00DB6774"/>
    <w:rsid w:val="00DB68B7"/>
    <w:rsid w:val="00DB6EF3"/>
    <w:rsid w:val="00DB7080"/>
    <w:rsid w:val="00DB789D"/>
    <w:rsid w:val="00DC06DD"/>
    <w:rsid w:val="00DC16D2"/>
    <w:rsid w:val="00DC17EA"/>
    <w:rsid w:val="00DC195F"/>
    <w:rsid w:val="00DC1BCD"/>
    <w:rsid w:val="00DC2EE7"/>
    <w:rsid w:val="00DC3218"/>
    <w:rsid w:val="00DC35A4"/>
    <w:rsid w:val="00DC5354"/>
    <w:rsid w:val="00DC629D"/>
    <w:rsid w:val="00DC62AD"/>
    <w:rsid w:val="00DC761E"/>
    <w:rsid w:val="00DD0181"/>
    <w:rsid w:val="00DD07F0"/>
    <w:rsid w:val="00DD1FD6"/>
    <w:rsid w:val="00DD2092"/>
    <w:rsid w:val="00DD2197"/>
    <w:rsid w:val="00DD224B"/>
    <w:rsid w:val="00DD30A8"/>
    <w:rsid w:val="00DD3822"/>
    <w:rsid w:val="00DD3F57"/>
    <w:rsid w:val="00DD469E"/>
    <w:rsid w:val="00DD66A4"/>
    <w:rsid w:val="00DD66EB"/>
    <w:rsid w:val="00DE08CE"/>
    <w:rsid w:val="00DE0A9A"/>
    <w:rsid w:val="00DE21A5"/>
    <w:rsid w:val="00DE398B"/>
    <w:rsid w:val="00DE3AA8"/>
    <w:rsid w:val="00DE3B56"/>
    <w:rsid w:val="00DE4CEB"/>
    <w:rsid w:val="00DE517B"/>
    <w:rsid w:val="00DE5355"/>
    <w:rsid w:val="00DE5650"/>
    <w:rsid w:val="00DE65BF"/>
    <w:rsid w:val="00DE69FD"/>
    <w:rsid w:val="00DE75C9"/>
    <w:rsid w:val="00DE7F20"/>
    <w:rsid w:val="00DF05BA"/>
    <w:rsid w:val="00DF0819"/>
    <w:rsid w:val="00DF1125"/>
    <w:rsid w:val="00DF29D4"/>
    <w:rsid w:val="00DF3F75"/>
    <w:rsid w:val="00DF53FB"/>
    <w:rsid w:val="00DF5952"/>
    <w:rsid w:val="00DF6457"/>
    <w:rsid w:val="00DF66AC"/>
    <w:rsid w:val="00E013BE"/>
    <w:rsid w:val="00E013CF"/>
    <w:rsid w:val="00E01DBC"/>
    <w:rsid w:val="00E02019"/>
    <w:rsid w:val="00E03E56"/>
    <w:rsid w:val="00E05054"/>
    <w:rsid w:val="00E0522B"/>
    <w:rsid w:val="00E063A8"/>
    <w:rsid w:val="00E107C6"/>
    <w:rsid w:val="00E1211F"/>
    <w:rsid w:val="00E12E2D"/>
    <w:rsid w:val="00E13616"/>
    <w:rsid w:val="00E1489A"/>
    <w:rsid w:val="00E167A6"/>
    <w:rsid w:val="00E16D00"/>
    <w:rsid w:val="00E2089D"/>
    <w:rsid w:val="00E224D6"/>
    <w:rsid w:val="00E2309D"/>
    <w:rsid w:val="00E236E2"/>
    <w:rsid w:val="00E242B0"/>
    <w:rsid w:val="00E24B0F"/>
    <w:rsid w:val="00E25498"/>
    <w:rsid w:val="00E2583E"/>
    <w:rsid w:val="00E26875"/>
    <w:rsid w:val="00E3072C"/>
    <w:rsid w:val="00E32683"/>
    <w:rsid w:val="00E32D0F"/>
    <w:rsid w:val="00E333A7"/>
    <w:rsid w:val="00E33F99"/>
    <w:rsid w:val="00E33FD3"/>
    <w:rsid w:val="00E34118"/>
    <w:rsid w:val="00E34FE9"/>
    <w:rsid w:val="00E35230"/>
    <w:rsid w:val="00E35D99"/>
    <w:rsid w:val="00E362AF"/>
    <w:rsid w:val="00E40A13"/>
    <w:rsid w:val="00E40C8F"/>
    <w:rsid w:val="00E41DDE"/>
    <w:rsid w:val="00E429F8"/>
    <w:rsid w:val="00E42A5C"/>
    <w:rsid w:val="00E42D7C"/>
    <w:rsid w:val="00E43205"/>
    <w:rsid w:val="00E43A47"/>
    <w:rsid w:val="00E442E0"/>
    <w:rsid w:val="00E44D5C"/>
    <w:rsid w:val="00E4523F"/>
    <w:rsid w:val="00E476CE"/>
    <w:rsid w:val="00E50DA2"/>
    <w:rsid w:val="00E5143C"/>
    <w:rsid w:val="00E52024"/>
    <w:rsid w:val="00E52232"/>
    <w:rsid w:val="00E532DF"/>
    <w:rsid w:val="00E534CF"/>
    <w:rsid w:val="00E55023"/>
    <w:rsid w:val="00E55FAE"/>
    <w:rsid w:val="00E563D9"/>
    <w:rsid w:val="00E56499"/>
    <w:rsid w:val="00E56D40"/>
    <w:rsid w:val="00E61425"/>
    <w:rsid w:val="00E61ED4"/>
    <w:rsid w:val="00E6228E"/>
    <w:rsid w:val="00E63702"/>
    <w:rsid w:val="00E65480"/>
    <w:rsid w:val="00E65954"/>
    <w:rsid w:val="00E66DC0"/>
    <w:rsid w:val="00E66EEE"/>
    <w:rsid w:val="00E67A5C"/>
    <w:rsid w:val="00E67D18"/>
    <w:rsid w:val="00E70070"/>
    <w:rsid w:val="00E70D3B"/>
    <w:rsid w:val="00E70FDF"/>
    <w:rsid w:val="00E71202"/>
    <w:rsid w:val="00E713FB"/>
    <w:rsid w:val="00E71840"/>
    <w:rsid w:val="00E74266"/>
    <w:rsid w:val="00E74418"/>
    <w:rsid w:val="00E75E29"/>
    <w:rsid w:val="00E75E66"/>
    <w:rsid w:val="00E7605B"/>
    <w:rsid w:val="00E76EC1"/>
    <w:rsid w:val="00E76F3C"/>
    <w:rsid w:val="00E775D9"/>
    <w:rsid w:val="00E77C4F"/>
    <w:rsid w:val="00E805F4"/>
    <w:rsid w:val="00E8157F"/>
    <w:rsid w:val="00E81D6D"/>
    <w:rsid w:val="00E82D3F"/>
    <w:rsid w:val="00E84C01"/>
    <w:rsid w:val="00E84E09"/>
    <w:rsid w:val="00E8564D"/>
    <w:rsid w:val="00E86036"/>
    <w:rsid w:val="00E86355"/>
    <w:rsid w:val="00E86D7D"/>
    <w:rsid w:val="00E87143"/>
    <w:rsid w:val="00E909BB"/>
    <w:rsid w:val="00E92339"/>
    <w:rsid w:val="00E941E5"/>
    <w:rsid w:val="00E95BBF"/>
    <w:rsid w:val="00E95CDF"/>
    <w:rsid w:val="00E970A0"/>
    <w:rsid w:val="00E97251"/>
    <w:rsid w:val="00EA0D41"/>
    <w:rsid w:val="00EA1D3A"/>
    <w:rsid w:val="00EA23F9"/>
    <w:rsid w:val="00EA39A5"/>
    <w:rsid w:val="00EA4B9C"/>
    <w:rsid w:val="00EA6A61"/>
    <w:rsid w:val="00EA6C38"/>
    <w:rsid w:val="00EA7525"/>
    <w:rsid w:val="00EA7BC5"/>
    <w:rsid w:val="00EB0A03"/>
    <w:rsid w:val="00EB2783"/>
    <w:rsid w:val="00EB3307"/>
    <w:rsid w:val="00EB6E2E"/>
    <w:rsid w:val="00EB6EF3"/>
    <w:rsid w:val="00EB7AEC"/>
    <w:rsid w:val="00EB7D96"/>
    <w:rsid w:val="00EC00C0"/>
    <w:rsid w:val="00EC0459"/>
    <w:rsid w:val="00EC0478"/>
    <w:rsid w:val="00EC07BF"/>
    <w:rsid w:val="00EC0DCA"/>
    <w:rsid w:val="00EC111B"/>
    <w:rsid w:val="00EC2AF7"/>
    <w:rsid w:val="00EC2B39"/>
    <w:rsid w:val="00EC394B"/>
    <w:rsid w:val="00EC42E6"/>
    <w:rsid w:val="00EC4741"/>
    <w:rsid w:val="00EC52AE"/>
    <w:rsid w:val="00EC6C6C"/>
    <w:rsid w:val="00EC77EC"/>
    <w:rsid w:val="00ED033C"/>
    <w:rsid w:val="00ED08B4"/>
    <w:rsid w:val="00ED20BE"/>
    <w:rsid w:val="00ED21FA"/>
    <w:rsid w:val="00ED2A00"/>
    <w:rsid w:val="00ED5585"/>
    <w:rsid w:val="00ED725A"/>
    <w:rsid w:val="00ED7D32"/>
    <w:rsid w:val="00EE16B0"/>
    <w:rsid w:val="00EE1924"/>
    <w:rsid w:val="00EE27D7"/>
    <w:rsid w:val="00EE2B7F"/>
    <w:rsid w:val="00EE3CE8"/>
    <w:rsid w:val="00EE706E"/>
    <w:rsid w:val="00EE7453"/>
    <w:rsid w:val="00EF191A"/>
    <w:rsid w:val="00EF1FBE"/>
    <w:rsid w:val="00EF3233"/>
    <w:rsid w:val="00EF33FA"/>
    <w:rsid w:val="00EF4C64"/>
    <w:rsid w:val="00EF52D8"/>
    <w:rsid w:val="00EF5D78"/>
    <w:rsid w:val="00EF6D34"/>
    <w:rsid w:val="00EF7233"/>
    <w:rsid w:val="00F01AAC"/>
    <w:rsid w:val="00F01C17"/>
    <w:rsid w:val="00F027E0"/>
    <w:rsid w:val="00F0299E"/>
    <w:rsid w:val="00F030BE"/>
    <w:rsid w:val="00F03290"/>
    <w:rsid w:val="00F03819"/>
    <w:rsid w:val="00F0476F"/>
    <w:rsid w:val="00F04AC7"/>
    <w:rsid w:val="00F04B5D"/>
    <w:rsid w:val="00F051FE"/>
    <w:rsid w:val="00F05846"/>
    <w:rsid w:val="00F060B2"/>
    <w:rsid w:val="00F066AD"/>
    <w:rsid w:val="00F072E4"/>
    <w:rsid w:val="00F1083E"/>
    <w:rsid w:val="00F1085D"/>
    <w:rsid w:val="00F10980"/>
    <w:rsid w:val="00F1126C"/>
    <w:rsid w:val="00F114A6"/>
    <w:rsid w:val="00F14CAE"/>
    <w:rsid w:val="00F15054"/>
    <w:rsid w:val="00F170B4"/>
    <w:rsid w:val="00F20D95"/>
    <w:rsid w:val="00F220CA"/>
    <w:rsid w:val="00F223A4"/>
    <w:rsid w:val="00F2241E"/>
    <w:rsid w:val="00F22EB5"/>
    <w:rsid w:val="00F240EF"/>
    <w:rsid w:val="00F2464A"/>
    <w:rsid w:val="00F2534C"/>
    <w:rsid w:val="00F264FB"/>
    <w:rsid w:val="00F2741A"/>
    <w:rsid w:val="00F27784"/>
    <w:rsid w:val="00F27D2B"/>
    <w:rsid w:val="00F30318"/>
    <w:rsid w:val="00F324CE"/>
    <w:rsid w:val="00F327B3"/>
    <w:rsid w:val="00F33B0D"/>
    <w:rsid w:val="00F34308"/>
    <w:rsid w:val="00F357D8"/>
    <w:rsid w:val="00F361AA"/>
    <w:rsid w:val="00F40267"/>
    <w:rsid w:val="00F4104E"/>
    <w:rsid w:val="00F416C8"/>
    <w:rsid w:val="00F42BE1"/>
    <w:rsid w:val="00F43169"/>
    <w:rsid w:val="00F43257"/>
    <w:rsid w:val="00F44A4F"/>
    <w:rsid w:val="00F44DC5"/>
    <w:rsid w:val="00F451D9"/>
    <w:rsid w:val="00F47A93"/>
    <w:rsid w:val="00F50686"/>
    <w:rsid w:val="00F50EA9"/>
    <w:rsid w:val="00F51F7E"/>
    <w:rsid w:val="00F5275F"/>
    <w:rsid w:val="00F52BD4"/>
    <w:rsid w:val="00F538A0"/>
    <w:rsid w:val="00F53EA4"/>
    <w:rsid w:val="00F5486B"/>
    <w:rsid w:val="00F54CCD"/>
    <w:rsid w:val="00F551BF"/>
    <w:rsid w:val="00F552EB"/>
    <w:rsid w:val="00F56253"/>
    <w:rsid w:val="00F573C3"/>
    <w:rsid w:val="00F57433"/>
    <w:rsid w:val="00F57632"/>
    <w:rsid w:val="00F603A4"/>
    <w:rsid w:val="00F60BEC"/>
    <w:rsid w:val="00F61159"/>
    <w:rsid w:val="00F613D5"/>
    <w:rsid w:val="00F628D7"/>
    <w:rsid w:val="00F62B0D"/>
    <w:rsid w:val="00F6412C"/>
    <w:rsid w:val="00F64D9A"/>
    <w:rsid w:val="00F65664"/>
    <w:rsid w:val="00F716D0"/>
    <w:rsid w:val="00F72D6C"/>
    <w:rsid w:val="00F73610"/>
    <w:rsid w:val="00F7495A"/>
    <w:rsid w:val="00F776EE"/>
    <w:rsid w:val="00F8050B"/>
    <w:rsid w:val="00F80964"/>
    <w:rsid w:val="00F80A6D"/>
    <w:rsid w:val="00F81F8A"/>
    <w:rsid w:val="00F82360"/>
    <w:rsid w:val="00F82F26"/>
    <w:rsid w:val="00F845E1"/>
    <w:rsid w:val="00F84631"/>
    <w:rsid w:val="00F849C0"/>
    <w:rsid w:val="00F84D29"/>
    <w:rsid w:val="00F852E3"/>
    <w:rsid w:val="00F85490"/>
    <w:rsid w:val="00F85FA7"/>
    <w:rsid w:val="00F87863"/>
    <w:rsid w:val="00F90247"/>
    <w:rsid w:val="00F90710"/>
    <w:rsid w:val="00F90983"/>
    <w:rsid w:val="00F91626"/>
    <w:rsid w:val="00F918DB"/>
    <w:rsid w:val="00F92E28"/>
    <w:rsid w:val="00F9328B"/>
    <w:rsid w:val="00F94B96"/>
    <w:rsid w:val="00F94CD2"/>
    <w:rsid w:val="00F94DB8"/>
    <w:rsid w:val="00F94EBA"/>
    <w:rsid w:val="00F97AB5"/>
    <w:rsid w:val="00FA0234"/>
    <w:rsid w:val="00FA129A"/>
    <w:rsid w:val="00FA132E"/>
    <w:rsid w:val="00FA156D"/>
    <w:rsid w:val="00FA1D1E"/>
    <w:rsid w:val="00FA1FC1"/>
    <w:rsid w:val="00FA2C11"/>
    <w:rsid w:val="00FA2E4A"/>
    <w:rsid w:val="00FA513C"/>
    <w:rsid w:val="00FA5A71"/>
    <w:rsid w:val="00FA5AA7"/>
    <w:rsid w:val="00FA5B56"/>
    <w:rsid w:val="00FA6155"/>
    <w:rsid w:val="00FA626E"/>
    <w:rsid w:val="00FA6F92"/>
    <w:rsid w:val="00FA6FAD"/>
    <w:rsid w:val="00FA705F"/>
    <w:rsid w:val="00FB0EA8"/>
    <w:rsid w:val="00FB0FA5"/>
    <w:rsid w:val="00FB12B3"/>
    <w:rsid w:val="00FB14FC"/>
    <w:rsid w:val="00FB1A14"/>
    <w:rsid w:val="00FB1C7C"/>
    <w:rsid w:val="00FB22CC"/>
    <w:rsid w:val="00FB2514"/>
    <w:rsid w:val="00FB3A5F"/>
    <w:rsid w:val="00FB4EE5"/>
    <w:rsid w:val="00FB5557"/>
    <w:rsid w:val="00FB56EB"/>
    <w:rsid w:val="00FB572F"/>
    <w:rsid w:val="00FB6038"/>
    <w:rsid w:val="00FB7712"/>
    <w:rsid w:val="00FB7776"/>
    <w:rsid w:val="00FB780F"/>
    <w:rsid w:val="00FC0C51"/>
    <w:rsid w:val="00FC1582"/>
    <w:rsid w:val="00FC242B"/>
    <w:rsid w:val="00FC24C2"/>
    <w:rsid w:val="00FC24DB"/>
    <w:rsid w:val="00FC28F4"/>
    <w:rsid w:val="00FC32A4"/>
    <w:rsid w:val="00FC5F69"/>
    <w:rsid w:val="00FC75E8"/>
    <w:rsid w:val="00FC7B69"/>
    <w:rsid w:val="00FC7B92"/>
    <w:rsid w:val="00FD1FBC"/>
    <w:rsid w:val="00FD277D"/>
    <w:rsid w:val="00FD48FF"/>
    <w:rsid w:val="00FD4C4E"/>
    <w:rsid w:val="00FD6145"/>
    <w:rsid w:val="00FD7A2D"/>
    <w:rsid w:val="00FD7A32"/>
    <w:rsid w:val="00FE02F1"/>
    <w:rsid w:val="00FE1054"/>
    <w:rsid w:val="00FE298A"/>
    <w:rsid w:val="00FE4683"/>
    <w:rsid w:val="00FE5E74"/>
    <w:rsid w:val="00FE5FFC"/>
    <w:rsid w:val="00FE65A7"/>
    <w:rsid w:val="00FE6653"/>
    <w:rsid w:val="00FE7E30"/>
    <w:rsid w:val="00FF1C1D"/>
    <w:rsid w:val="00FF1E4C"/>
    <w:rsid w:val="00FF3A04"/>
    <w:rsid w:val="00FF3DB4"/>
    <w:rsid w:val="00FF5E2A"/>
    <w:rsid w:val="00FF666B"/>
    <w:rsid w:val="00FF69EC"/>
    <w:rsid w:val="00FF6A4A"/>
    <w:rsid w:val="00FF7594"/>
    <w:rsid w:val="00FF7F21"/>
    <w:rsid w:val="0147DAD5"/>
    <w:rsid w:val="015988BE"/>
    <w:rsid w:val="01727967"/>
    <w:rsid w:val="01E0D2B6"/>
    <w:rsid w:val="02C73686"/>
    <w:rsid w:val="02FEFDA3"/>
    <w:rsid w:val="032C596D"/>
    <w:rsid w:val="03B5B632"/>
    <w:rsid w:val="03CD0566"/>
    <w:rsid w:val="044B1D6B"/>
    <w:rsid w:val="0465E785"/>
    <w:rsid w:val="046C6EC1"/>
    <w:rsid w:val="048BC0A5"/>
    <w:rsid w:val="04A29975"/>
    <w:rsid w:val="053398D9"/>
    <w:rsid w:val="0575D603"/>
    <w:rsid w:val="058AE5FE"/>
    <w:rsid w:val="0600FD86"/>
    <w:rsid w:val="06DA3CD1"/>
    <w:rsid w:val="0761A945"/>
    <w:rsid w:val="0778A674"/>
    <w:rsid w:val="08575C8C"/>
    <w:rsid w:val="099A5B47"/>
    <w:rsid w:val="0A651C4A"/>
    <w:rsid w:val="0BCC9614"/>
    <w:rsid w:val="0C322510"/>
    <w:rsid w:val="0C731E73"/>
    <w:rsid w:val="0CA6FB2A"/>
    <w:rsid w:val="0CABA3DA"/>
    <w:rsid w:val="0CBA1356"/>
    <w:rsid w:val="0CE41842"/>
    <w:rsid w:val="0D350A7B"/>
    <w:rsid w:val="0D3A1865"/>
    <w:rsid w:val="0D3A8A35"/>
    <w:rsid w:val="0E636990"/>
    <w:rsid w:val="0E7E5781"/>
    <w:rsid w:val="0F05F068"/>
    <w:rsid w:val="0F164A8F"/>
    <w:rsid w:val="0F649BCE"/>
    <w:rsid w:val="0FB99EA4"/>
    <w:rsid w:val="1086CFC3"/>
    <w:rsid w:val="1116D10A"/>
    <w:rsid w:val="1143053E"/>
    <w:rsid w:val="11588D1B"/>
    <w:rsid w:val="11DB3EA4"/>
    <w:rsid w:val="11FEC237"/>
    <w:rsid w:val="121FDF17"/>
    <w:rsid w:val="124A556E"/>
    <w:rsid w:val="12E98BA1"/>
    <w:rsid w:val="13275CB7"/>
    <w:rsid w:val="13A1A4A2"/>
    <w:rsid w:val="13E625CF"/>
    <w:rsid w:val="143800A8"/>
    <w:rsid w:val="14C7B341"/>
    <w:rsid w:val="14DDE221"/>
    <w:rsid w:val="15103277"/>
    <w:rsid w:val="15EA6B74"/>
    <w:rsid w:val="16BDEC57"/>
    <w:rsid w:val="1754B88F"/>
    <w:rsid w:val="1760251E"/>
    <w:rsid w:val="17F8D148"/>
    <w:rsid w:val="18255F2A"/>
    <w:rsid w:val="18454831"/>
    <w:rsid w:val="18D1D3C1"/>
    <w:rsid w:val="18F088F0"/>
    <w:rsid w:val="1908BB8D"/>
    <w:rsid w:val="19494F02"/>
    <w:rsid w:val="197A7D2D"/>
    <w:rsid w:val="19A7F792"/>
    <w:rsid w:val="19F9E999"/>
    <w:rsid w:val="1A69AC99"/>
    <w:rsid w:val="1A6C05B7"/>
    <w:rsid w:val="1AC88F47"/>
    <w:rsid w:val="1B17D21D"/>
    <w:rsid w:val="1B623492"/>
    <w:rsid w:val="1B938E2A"/>
    <w:rsid w:val="1B9F83D3"/>
    <w:rsid w:val="1BA2221E"/>
    <w:rsid w:val="1BCA1CC3"/>
    <w:rsid w:val="1CB2F162"/>
    <w:rsid w:val="1CEA7954"/>
    <w:rsid w:val="1D1EB58B"/>
    <w:rsid w:val="1DA0B5E3"/>
    <w:rsid w:val="1DDFBB01"/>
    <w:rsid w:val="1DE06584"/>
    <w:rsid w:val="1EF1D78F"/>
    <w:rsid w:val="1F1D9C6B"/>
    <w:rsid w:val="1F257119"/>
    <w:rsid w:val="204BA235"/>
    <w:rsid w:val="20F7608F"/>
    <w:rsid w:val="215AC240"/>
    <w:rsid w:val="2160E3BD"/>
    <w:rsid w:val="21B89AA4"/>
    <w:rsid w:val="2293F076"/>
    <w:rsid w:val="22940DF9"/>
    <w:rsid w:val="22A08E0B"/>
    <w:rsid w:val="22D69FFD"/>
    <w:rsid w:val="2373F665"/>
    <w:rsid w:val="23F17330"/>
    <w:rsid w:val="2415B9DE"/>
    <w:rsid w:val="24334B4E"/>
    <w:rsid w:val="24C7AD10"/>
    <w:rsid w:val="24D69103"/>
    <w:rsid w:val="25867886"/>
    <w:rsid w:val="25C3D7D3"/>
    <w:rsid w:val="264BF601"/>
    <w:rsid w:val="26898A87"/>
    <w:rsid w:val="270CE8BC"/>
    <w:rsid w:val="289ED1EB"/>
    <w:rsid w:val="28FA65D8"/>
    <w:rsid w:val="297BCFB3"/>
    <w:rsid w:val="2995C3C7"/>
    <w:rsid w:val="29A4D55A"/>
    <w:rsid w:val="2A15CF19"/>
    <w:rsid w:val="2A3A42F7"/>
    <w:rsid w:val="2AB3BF4C"/>
    <w:rsid w:val="2ACB586A"/>
    <w:rsid w:val="2B1879E0"/>
    <w:rsid w:val="2B6A450A"/>
    <w:rsid w:val="2BB12825"/>
    <w:rsid w:val="2BCBFAC3"/>
    <w:rsid w:val="2C96525D"/>
    <w:rsid w:val="2CCF64F6"/>
    <w:rsid w:val="2CE79173"/>
    <w:rsid w:val="2CE8DC28"/>
    <w:rsid w:val="2CEF1918"/>
    <w:rsid w:val="2D268535"/>
    <w:rsid w:val="2D4D6FDB"/>
    <w:rsid w:val="2E0F0F44"/>
    <w:rsid w:val="2E4D785E"/>
    <w:rsid w:val="2F24EAF2"/>
    <w:rsid w:val="2F4E91B2"/>
    <w:rsid w:val="2F843B17"/>
    <w:rsid w:val="30455507"/>
    <w:rsid w:val="30792D48"/>
    <w:rsid w:val="30D81594"/>
    <w:rsid w:val="31C27E6F"/>
    <w:rsid w:val="31D66CA8"/>
    <w:rsid w:val="323D4A60"/>
    <w:rsid w:val="32471C38"/>
    <w:rsid w:val="32643E1D"/>
    <w:rsid w:val="32C9F4CF"/>
    <w:rsid w:val="33136F60"/>
    <w:rsid w:val="33D1E2A4"/>
    <w:rsid w:val="33E6B3E8"/>
    <w:rsid w:val="33E89AAA"/>
    <w:rsid w:val="34EA50EC"/>
    <w:rsid w:val="34EF072D"/>
    <w:rsid w:val="35A119DE"/>
    <w:rsid w:val="3623F3FF"/>
    <w:rsid w:val="364BDB05"/>
    <w:rsid w:val="36635E81"/>
    <w:rsid w:val="36C427D0"/>
    <w:rsid w:val="3772E8AC"/>
    <w:rsid w:val="37829B14"/>
    <w:rsid w:val="3840FDD2"/>
    <w:rsid w:val="389F0836"/>
    <w:rsid w:val="393CEC8C"/>
    <w:rsid w:val="3945FE37"/>
    <w:rsid w:val="3966C8BC"/>
    <w:rsid w:val="39968609"/>
    <w:rsid w:val="3A17BD13"/>
    <w:rsid w:val="3A3376BB"/>
    <w:rsid w:val="3ABDFE29"/>
    <w:rsid w:val="3ACE4D58"/>
    <w:rsid w:val="3B07A5BC"/>
    <w:rsid w:val="3BA38055"/>
    <w:rsid w:val="3BC07AFF"/>
    <w:rsid w:val="3BCD1A78"/>
    <w:rsid w:val="3BD2C2E0"/>
    <w:rsid w:val="3BF31C14"/>
    <w:rsid w:val="3BF94EAC"/>
    <w:rsid w:val="3CF4FE2A"/>
    <w:rsid w:val="3D478510"/>
    <w:rsid w:val="3D5131E4"/>
    <w:rsid w:val="3D6D59A8"/>
    <w:rsid w:val="3D935799"/>
    <w:rsid w:val="3DC842B2"/>
    <w:rsid w:val="3DD3130B"/>
    <w:rsid w:val="3DDF06D0"/>
    <w:rsid w:val="3E2945A0"/>
    <w:rsid w:val="3E3C2F90"/>
    <w:rsid w:val="3E63B26D"/>
    <w:rsid w:val="3E7AC1E2"/>
    <w:rsid w:val="3F4FF1CD"/>
    <w:rsid w:val="3F5F3CCB"/>
    <w:rsid w:val="3F94FF85"/>
    <w:rsid w:val="3FFF09F2"/>
    <w:rsid w:val="40245F6F"/>
    <w:rsid w:val="4107D2E5"/>
    <w:rsid w:val="41626B52"/>
    <w:rsid w:val="421DA4F4"/>
    <w:rsid w:val="422EFCDE"/>
    <w:rsid w:val="4232A909"/>
    <w:rsid w:val="42942BF1"/>
    <w:rsid w:val="429BE713"/>
    <w:rsid w:val="42A3A909"/>
    <w:rsid w:val="4335E06B"/>
    <w:rsid w:val="43559647"/>
    <w:rsid w:val="438B1612"/>
    <w:rsid w:val="44330EF9"/>
    <w:rsid w:val="44C305AB"/>
    <w:rsid w:val="44D74072"/>
    <w:rsid w:val="450C9486"/>
    <w:rsid w:val="450FB74F"/>
    <w:rsid w:val="4527B0BC"/>
    <w:rsid w:val="45BEA6FE"/>
    <w:rsid w:val="467F4060"/>
    <w:rsid w:val="46A1A1EC"/>
    <w:rsid w:val="46B23FFA"/>
    <w:rsid w:val="46DE2788"/>
    <w:rsid w:val="47852CA1"/>
    <w:rsid w:val="47BBBBFB"/>
    <w:rsid w:val="483E50F3"/>
    <w:rsid w:val="48AC373A"/>
    <w:rsid w:val="48C06FBF"/>
    <w:rsid w:val="49355A22"/>
    <w:rsid w:val="49ECEE8D"/>
    <w:rsid w:val="4A4A6BEB"/>
    <w:rsid w:val="4B0388E6"/>
    <w:rsid w:val="4B75F0D4"/>
    <w:rsid w:val="4B82AD6B"/>
    <w:rsid w:val="4BBC4866"/>
    <w:rsid w:val="4BD213E3"/>
    <w:rsid w:val="4C0F7276"/>
    <w:rsid w:val="4C2E874A"/>
    <w:rsid w:val="4C8445BB"/>
    <w:rsid w:val="4CB0C2E3"/>
    <w:rsid w:val="4E05D553"/>
    <w:rsid w:val="4E0E8C24"/>
    <w:rsid w:val="4E2C7A6C"/>
    <w:rsid w:val="4E98D332"/>
    <w:rsid w:val="4ED4AB7F"/>
    <w:rsid w:val="4F06F456"/>
    <w:rsid w:val="4F1E10CA"/>
    <w:rsid w:val="4F3D9E66"/>
    <w:rsid w:val="4F5DD4D7"/>
    <w:rsid w:val="4F5E425C"/>
    <w:rsid w:val="4F6B3900"/>
    <w:rsid w:val="4F727D23"/>
    <w:rsid w:val="4F8E5315"/>
    <w:rsid w:val="4FA4FFB9"/>
    <w:rsid w:val="4FC7B2CA"/>
    <w:rsid w:val="5029E60E"/>
    <w:rsid w:val="51ABCA4A"/>
    <w:rsid w:val="51D073F4"/>
    <w:rsid w:val="52B20A70"/>
    <w:rsid w:val="52D6511E"/>
    <w:rsid w:val="53440524"/>
    <w:rsid w:val="53884450"/>
    <w:rsid w:val="53B0AF46"/>
    <w:rsid w:val="541D66F9"/>
    <w:rsid w:val="542EF0F8"/>
    <w:rsid w:val="5438704A"/>
    <w:rsid w:val="5446B794"/>
    <w:rsid w:val="54513E86"/>
    <w:rsid w:val="54CD134C"/>
    <w:rsid w:val="55761CD4"/>
    <w:rsid w:val="55D846CD"/>
    <w:rsid w:val="55E44E5D"/>
    <w:rsid w:val="567A897C"/>
    <w:rsid w:val="5682C833"/>
    <w:rsid w:val="56943848"/>
    <w:rsid w:val="569A610E"/>
    <w:rsid w:val="56CF4BDB"/>
    <w:rsid w:val="57686A81"/>
    <w:rsid w:val="57EEEC01"/>
    <w:rsid w:val="582AF83F"/>
    <w:rsid w:val="5933EB62"/>
    <w:rsid w:val="595C5D1F"/>
    <w:rsid w:val="595CFB78"/>
    <w:rsid w:val="597B7FAE"/>
    <w:rsid w:val="59CDD164"/>
    <w:rsid w:val="59D7A16B"/>
    <w:rsid w:val="5A2B0F1B"/>
    <w:rsid w:val="5A7E5EBE"/>
    <w:rsid w:val="5B8576F2"/>
    <w:rsid w:val="5B9F0C73"/>
    <w:rsid w:val="5C04B32E"/>
    <w:rsid w:val="5C49308B"/>
    <w:rsid w:val="5C6668E7"/>
    <w:rsid w:val="5CC0D718"/>
    <w:rsid w:val="5D4D4721"/>
    <w:rsid w:val="5E20635F"/>
    <w:rsid w:val="5E8536BA"/>
    <w:rsid w:val="5F98ACD4"/>
    <w:rsid w:val="5FACE79B"/>
    <w:rsid w:val="5FB13E93"/>
    <w:rsid w:val="60B8D5D1"/>
    <w:rsid w:val="610EC96B"/>
    <w:rsid w:val="61D43971"/>
    <w:rsid w:val="61ECDFFC"/>
    <w:rsid w:val="628ABF2F"/>
    <w:rsid w:val="629279E4"/>
    <w:rsid w:val="62F361A1"/>
    <w:rsid w:val="6337D5A3"/>
    <w:rsid w:val="63719D69"/>
    <w:rsid w:val="63BDB0B5"/>
    <w:rsid w:val="64188188"/>
    <w:rsid w:val="64695B70"/>
    <w:rsid w:val="6480E668"/>
    <w:rsid w:val="649BB108"/>
    <w:rsid w:val="64A98D02"/>
    <w:rsid w:val="6512FD70"/>
    <w:rsid w:val="657C3B0D"/>
    <w:rsid w:val="659B1C32"/>
    <w:rsid w:val="65DDA87E"/>
    <w:rsid w:val="6619FBD0"/>
    <w:rsid w:val="662C8F2F"/>
    <w:rsid w:val="668369E1"/>
    <w:rsid w:val="6697E55D"/>
    <w:rsid w:val="66E3D461"/>
    <w:rsid w:val="66E4E6CE"/>
    <w:rsid w:val="66F9B14C"/>
    <w:rsid w:val="67803C46"/>
    <w:rsid w:val="6861CD56"/>
    <w:rsid w:val="686E43A6"/>
    <w:rsid w:val="68E00F08"/>
    <w:rsid w:val="693073D8"/>
    <w:rsid w:val="6954CC22"/>
    <w:rsid w:val="699F2C74"/>
    <w:rsid w:val="6A134DA7"/>
    <w:rsid w:val="6AF4BE8E"/>
    <w:rsid w:val="6B7A5FF5"/>
    <w:rsid w:val="6B9A87A5"/>
    <w:rsid w:val="6BAACF91"/>
    <w:rsid w:val="6BD004A5"/>
    <w:rsid w:val="6D2DB695"/>
    <w:rsid w:val="6D4691D2"/>
    <w:rsid w:val="6D889B3A"/>
    <w:rsid w:val="6DD4633D"/>
    <w:rsid w:val="6DDF5EDC"/>
    <w:rsid w:val="6E025A06"/>
    <w:rsid w:val="6E03E4FB"/>
    <w:rsid w:val="6E1D5D8F"/>
    <w:rsid w:val="6E6F3C93"/>
    <w:rsid w:val="6EBFA132"/>
    <w:rsid w:val="6ECD2023"/>
    <w:rsid w:val="6F495C3F"/>
    <w:rsid w:val="6F94D177"/>
    <w:rsid w:val="7069A6D7"/>
    <w:rsid w:val="70C102B3"/>
    <w:rsid w:val="70DE6F05"/>
    <w:rsid w:val="71383738"/>
    <w:rsid w:val="718D3A0E"/>
    <w:rsid w:val="71B1B38D"/>
    <w:rsid w:val="72434883"/>
    <w:rsid w:val="7378CB13"/>
    <w:rsid w:val="73CCD8BA"/>
    <w:rsid w:val="73D08160"/>
    <w:rsid w:val="7426B394"/>
    <w:rsid w:val="74AB809D"/>
    <w:rsid w:val="758AA422"/>
    <w:rsid w:val="75D26339"/>
    <w:rsid w:val="7665A35F"/>
    <w:rsid w:val="76AA9A4E"/>
    <w:rsid w:val="76F6EAF3"/>
    <w:rsid w:val="774DC0B4"/>
    <w:rsid w:val="779F52D6"/>
    <w:rsid w:val="791E9E93"/>
    <w:rsid w:val="79366464"/>
    <w:rsid w:val="79509A20"/>
    <w:rsid w:val="7A2E226B"/>
    <w:rsid w:val="7A343EC3"/>
    <w:rsid w:val="7A9121F0"/>
    <w:rsid w:val="7ADA76B5"/>
    <w:rsid w:val="7B846BFD"/>
    <w:rsid w:val="7B8FB7E4"/>
    <w:rsid w:val="7BAF81C7"/>
    <w:rsid w:val="7BDB2E9E"/>
    <w:rsid w:val="7BE02600"/>
    <w:rsid w:val="7C87817B"/>
    <w:rsid w:val="7CAE7326"/>
    <w:rsid w:val="7CBD17E8"/>
    <w:rsid w:val="7D0EEAE9"/>
    <w:rsid w:val="7D4045C9"/>
    <w:rsid w:val="7DC44CC1"/>
    <w:rsid w:val="7E17002A"/>
    <w:rsid w:val="7E1F4711"/>
    <w:rsid w:val="7E29479C"/>
    <w:rsid w:val="7E2FCA9E"/>
    <w:rsid w:val="7E9888C2"/>
    <w:rsid w:val="7ED4FBAE"/>
    <w:rsid w:val="7EE53A66"/>
    <w:rsid w:val="7F149E83"/>
    <w:rsid w:val="7FE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9DAED"/>
  <w15:chartTrackingRefBased/>
  <w15:docId w15:val="{05A30AD5-BA18-4999-BE6D-B707DCF5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71"/>
    <w:pPr>
      <w:spacing w:before="120" w:after="120"/>
      <w:ind w:firstLine="1134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47DF8"/>
    <w:pPr>
      <w:keepNext/>
      <w:spacing w:before="240"/>
      <w:ind w:firstLine="0"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7DF8"/>
    <w:pPr>
      <w:keepNext/>
      <w:spacing w:before="240"/>
      <w:ind w:firstLine="0"/>
      <w:jc w:val="center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3A5F"/>
    <w:pPr>
      <w:keepNext/>
      <w:spacing w:before="240"/>
      <w:ind w:firstLine="0"/>
      <w:jc w:val="center"/>
      <w:outlineLvl w:val="2"/>
    </w:pPr>
    <w:rPr>
      <w:rFonts w:eastAsia="Times New Roman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66626B"/>
    <w:pPr>
      <w:spacing w:before="240" w:after="240"/>
      <w:ind w:left="4253"/>
    </w:pPr>
    <w:rPr>
      <w:rFonts w:eastAsia="Times New Roman"/>
      <w:bCs/>
      <w:szCs w:val="24"/>
      <w:lang w:eastAsia="pt-BR"/>
    </w:rPr>
  </w:style>
  <w:style w:type="paragraph" w:customStyle="1" w:styleId="Texto">
    <w:name w:val="Texto"/>
    <w:basedOn w:val="Normal"/>
    <w:rsid w:val="0066626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  <w:ind w:firstLine="680"/>
    </w:pPr>
    <w:rPr>
      <w:rFonts w:eastAsia="Times New Roman"/>
      <w:szCs w:val="24"/>
      <w:lang w:eastAsia="pt-BR"/>
    </w:rPr>
  </w:style>
  <w:style w:type="paragraph" w:customStyle="1" w:styleId="Paragrafo">
    <w:name w:val="Paragrafo"/>
    <w:basedOn w:val="Normal"/>
    <w:rsid w:val="0066626B"/>
    <w:pPr>
      <w:numPr>
        <w:numId w:val="1"/>
      </w:numPr>
      <w:spacing w:after="0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link w:val="dou-paragraphChar"/>
    <w:rsid w:val="0066626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qFormat/>
    <w:rsid w:val="003B61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B614C"/>
    <w:rPr>
      <w:lang w:eastAsia="en-US"/>
    </w:rPr>
  </w:style>
  <w:style w:type="character" w:styleId="Refdenotaderodap">
    <w:name w:val="footnote reference"/>
    <w:uiPriority w:val="99"/>
    <w:unhideWhenUsed/>
    <w:qFormat/>
    <w:rsid w:val="003B61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B614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5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A0DDD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D47DF8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D47DF8"/>
    <w:rPr>
      <w:rFonts w:ascii="Arial" w:eastAsia="Times New Roman" w:hAnsi="Arial"/>
      <w:b/>
      <w:bCs/>
      <w:iCs/>
      <w:sz w:val="24"/>
      <w:szCs w:val="28"/>
      <w:lang w:eastAsia="en-US"/>
    </w:rPr>
  </w:style>
  <w:style w:type="paragraph" w:styleId="SemEspaamento">
    <w:name w:val="No Spacing"/>
    <w:uiPriority w:val="1"/>
    <w:qFormat/>
    <w:rsid w:val="00C11F9E"/>
    <w:pPr>
      <w:spacing w:before="240" w:after="120"/>
      <w:jc w:val="center"/>
    </w:pPr>
    <w:rPr>
      <w:rFonts w:ascii="Arial" w:hAnsi="Arial"/>
      <w:b/>
      <w:sz w:val="24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BB5047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40C27"/>
    <w:pPr>
      <w:tabs>
        <w:tab w:val="right" w:leader="dot" w:pos="9344"/>
      </w:tabs>
      <w:ind w:firstLine="0"/>
    </w:pPr>
    <w:rPr>
      <w:rFonts w:eastAsia="Arial" w:cs="Arial"/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C7663F"/>
    <w:pPr>
      <w:tabs>
        <w:tab w:val="right" w:leader="dot" w:pos="9344"/>
      </w:tabs>
      <w:ind w:firstLine="0"/>
    </w:pPr>
    <w:rPr>
      <w:rFonts w:eastAsia="Arial" w:cs="Arial"/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B5047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849AF"/>
    <w:rPr>
      <w:rFonts w:ascii="Arial" w:hAnsi="Arial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849AF"/>
    <w:rPr>
      <w:rFonts w:ascii="Arial" w:hAnsi="Arial"/>
      <w:sz w:val="24"/>
      <w:szCs w:val="22"/>
      <w:lang w:eastAsia="en-US"/>
    </w:rPr>
  </w:style>
  <w:style w:type="paragraph" w:customStyle="1" w:styleId="Assina">
    <w:name w:val="Assina"/>
    <w:basedOn w:val="Normal"/>
    <w:rsid w:val="004E5F10"/>
    <w:pPr>
      <w:autoSpaceDE w:val="0"/>
      <w:autoSpaceDN w:val="0"/>
      <w:spacing w:before="60" w:after="60"/>
      <w:jc w:val="center"/>
    </w:pPr>
    <w:rPr>
      <w:rFonts w:ascii="Times New Roman" w:eastAsia="Times New Roman" w:hAnsi="Times New Roman"/>
      <w:szCs w:val="20"/>
      <w:lang w:eastAsia="pt-BR"/>
    </w:rPr>
  </w:style>
  <w:style w:type="paragraph" w:customStyle="1" w:styleId="Default">
    <w:name w:val="Default"/>
    <w:rsid w:val="004E5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4E5F10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4E5F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5F10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E5F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5F1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E5F10"/>
    <w:rPr>
      <w:b/>
      <w:bCs/>
      <w:lang w:eastAsia="en-US"/>
    </w:rPr>
  </w:style>
  <w:style w:type="character" w:customStyle="1" w:styleId="Ttulo3Char">
    <w:name w:val="Título 3 Char"/>
    <w:link w:val="Ttulo3"/>
    <w:uiPriority w:val="9"/>
    <w:rsid w:val="00FB3A5F"/>
    <w:rPr>
      <w:rFonts w:ascii="Arial" w:eastAsia="Times New Roman" w:hAnsi="Arial"/>
      <w:b/>
      <w:bCs/>
      <w:sz w:val="24"/>
      <w:szCs w:val="26"/>
      <w:lang w:eastAsia="en-US"/>
    </w:rPr>
  </w:style>
  <w:style w:type="numbering" w:customStyle="1" w:styleId="Estilo1">
    <w:name w:val="Estilo1"/>
    <w:uiPriority w:val="99"/>
    <w:rsid w:val="009E1C33"/>
    <w:pPr>
      <w:numPr>
        <w:numId w:val="2"/>
      </w:numPr>
    </w:pPr>
  </w:style>
  <w:style w:type="paragraph" w:customStyle="1" w:styleId="Artigo">
    <w:name w:val="Artigo"/>
    <w:basedOn w:val="dou-paragraph"/>
    <w:link w:val="ArtigoChar"/>
    <w:qFormat/>
    <w:rsid w:val="00E95BBF"/>
    <w:pPr>
      <w:numPr>
        <w:numId w:val="3"/>
      </w:numPr>
      <w:shd w:val="clear" w:color="auto" w:fill="FFFFFF"/>
      <w:spacing w:before="120" w:beforeAutospacing="0" w:after="120" w:afterAutospacing="0"/>
    </w:pPr>
    <w:rPr>
      <w:rFonts w:ascii="Arial" w:hAnsi="Arial" w:cs="Arial"/>
    </w:rPr>
  </w:style>
  <w:style w:type="paragraph" w:customStyle="1" w:styleId="Pargrafo">
    <w:name w:val="Parágrafo"/>
    <w:basedOn w:val="Artigo"/>
    <w:link w:val="PargrafoChar"/>
    <w:rsid w:val="009E1C33"/>
    <w:pPr>
      <w:numPr>
        <w:ilvl w:val="1"/>
      </w:numPr>
    </w:pPr>
  </w:style>
  <w:style w:type="character" w:customStyle="1" w:styleId="dou-paragraphChar">
    <w:name w:val="dou-paragraph Char"/>
    <w:link w:val="dou-paragraph"/>
    <w:rsid w:val="009E1C33"/>
    <w:rPr>
      <w:rFonts w:ascii="Times New Roman" w:eastAsia="Times New Roman" w:hAnsi="Times New Roman"/>
      <w:sz w:val="24"/>
      <w:szCs w:val="24"/>
    </w:rPr>
  </w:style>
  <w:style w:type="character" w:customStyle="1" w:styleId="ArtigoChar">
    <w:name w:val="Artigo Char"/>
    <w:link w:val="Artigo"/>
    <w:rsid w:val="00E95BBF"/>
    <w:rPr>
      <w:rFonts w:ascii="Arial" w:eastAsia="Times New Roman" w:hAnsi="Arial" w:cs="Arial"/>
      <w:sz w:val="24"/>
      <w:szCs w:val="24"/>
      <w:shd w:val="clear" w:color="auto" w:fill="FFFFFF"/>
    </w:rPr>
  </w:style>
  <w:style w:type="paragraph" w:customStyle="1" w:styleId="Inciso">
    <w:name w:val="Inciso"/>
    <w:basedOn w:val="dou-paragraph"/>
    <w:link w:val="IncisoChar"/>
    <w:rsid w:val="00AF5699"/>
    <w:pPr>
      <w:numPr>
        <w:ilvl w:val="2"/>
        <w:numId w:val="3"/>
      </w:numPr>
      <w:shd w:val="clear" w:color="auto" w:fill="FFFFFF"/>
      <w:spacing w:before="120" w:beforeAutospacing="0" w:after="0" w:afterAutospacing="0" w:line="360" w:lineRule="auto"/>
    </w:pPr>
    <w:rPr>
      <w:rFonts w:ascii="Arial" w:hAnsi="Arial" w:cs="Arial"/>
      <w:color w:val="000000"/>
    </w:rPr>
  </w:style>
  <w:style w:type="character" w:customStyle="1" w:styleId="PargrafoChar">
    <w:name w:val="Parágrafo Char"/>
    <w:link w:val="Pargrafo"/>
    <w:rsid w:val="009E1C33"/>
    <w:rPr>
      <w:rFonts w:ascii="Arial" w:eastAsia="Times New Roman" w:hAnsi="Arial" w:cs="Arial"/>
      <w:sz w:val="24"/>
      <w:szCs w:val="24"/>
      <w:shd w:val="clear" w:color="auto" w:fill="FFFFFF"/>
    </w:rPr>
  </w:style>
  <w:style w:type="character" w:styleId="Forte">
    <w:name w:val="Strong"/>
    <w:uiPriority w:val="22"/>
    <w:qFormat/>
    <w:rsid w:val="00F85490"/>
    <w:rPr>
      <w:rFonts w:ascii="Arial" w:hAnsi="Arial"/>
      <w:b/>
      <w:bCs/>
      <w:i w:val="0"/>
      <w:sz w:val="24"/>
    </w:rPr>
  </w:style>
  <w:style w:type="character" w:customStyle="1" w:styleId="IncisoChar">
    <w:name w:val="Inciso Char"/>
    <w:link w:val="Inciso"/>
    <w:rsid w:val="00AF5699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styleId="nfaseIntensa">
    <w:name w:val="Intense Emphasis"/>
    <w:uiPriority w:val="21"/>
    <w:qFormat/>
    <w:rsid w:val="00F85490"/>
    <w:rPr>
      <w:i/>
      <w:iCs/>
      <w:color w:val="4472C4"/>
    </w:rPr>
  </w:style>
  <w:style w:type="paragraph" w:styleId="Ttulo">
    <w:name w:val="Title"/>
    <w:basedOn w:val="Normal"/>
    <w:next w:val="Normal"/>
    <w:link w:val="TtuloChar"/>
    <w:uiPriority w:val="10"/>
    <w:qFormat/>
    <w:rsid w:val="00F8549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F8549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5490"/>
    <w:pPr>
      <w:spacing w:after="6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SubttuloChar">
    <w:name w:val="Subtítulo Char"/>
    <w:link w:val="Subttulo"/>
    <w:uiPriority w:val="11"/>
    <w:rsid w:val="00F85490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nfaseSutil">
    <w:name w:val="Subtle Emphasis"/>
    <w:uiPriority w:val="19"/>
    <w:qFormat/>
    <w:rsid w:val="00F85490"/>
    <w:rPr>
      <w:i/>
      <w:iCs/>
      <w:color w:val="404040"/>
    </w:rPr>
  </w:style>
  <w:style w:type="character" w:styleId="nfase">
    <w:name w:val="Emphasis"/>
    <w:uiPriority w:val="20"/>
    <w:qFormat/>
    <w:rsid w:val="00F85490"/>
    <w:rPr>
      <w:i/>
      <w:iCs/>
    </w:rPr>
  </w:style>
  <w:style w:type="paragraph" w:customStyle="1" w:styleId="ArtigosOrdinais">
    <w:name w:val="ArtigosOrdinais"/>
    <w:basedOn w:val="Normal"/>
    <w:rsid w:val="000033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  <w:ind w:firstLine="0"/>
    </w:pPr>
    <w:rPr>
      <w:rFonts w:eastAsia="Times New Roman"/>
      <w:bCs/>
      <w:sz w:val="22"/>
      <w:szCs w:val="24"/>
      <w:lang w:eastAsia="pt-BR"/>
    </w:rPr>
  </w:style>
  <w:style w:type="character" w:styleId="TextodoEspaoReservado">
    <w:name w:val="Placeholder Text"/>
    <w:uiPriority w:val="99"/>
    <w:semiHidden/>
    <w:rsid w:val="005D2D33"/>
    <w:rPr>
      <w:color w:val="808080"/>
    </w:rPr>
  </w:style>
  <w:style w:type="paragraph" w:styleId="Sumrio3">
    <w:name w:val="toc 3"/>
    <w:basedOn w:val="Normal"/>
    <w:next w:val="Normal"/>
    <w:autoRedefine/>
    <w:uiPriority w:val="39"/>
    <w:unhideWhenUsed/>
    <w:rsid w:val="00E95CDF"/>
    <w:pPr>
      <w:spacing w:after="100"/>
      <w:ind w:left="480"/>
    </w:pPr>
  </w:style>
  <w:style w:type="paragraph" w:styleId="PargrafodaLista">
    <w:name w:val="List Paragraph"/>
    <w:basedOn w:val="Normal"/>
    <w:uiPriority w:val="34"/>
    <w:qFormat/>
    <w:rsid w:val="0022607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787764"/>
    <w:pPr>
      <w:widowControl w:val="0"/>
      <w:autoSpaceDE w:val="0"/>
      <w:autoSpaceDN w:val="0"/>
      <w:spacing w:before="0" w:after="0"/>
      <w:ind w:firstLine="0"/>
      <w:jc w:val="left"/>
    </w:pPr>
    <w:rPr>
      <w:rFonts w:ascii="Arial MT" w:eastAsia="Arial MT" w:hAnsi="Arial MT" w:cs="Arial MT"/>
      <w:szCs w:val="24"/>
      <w:lang w:val="pt-PT"/>
    </w:rPr>
  </w:style>
  <w:style w:type="character" w:customStyle="1" w:styleId="CorpodetextoChar">
    <w:name w:val="Corpo de texto Char"/>
    <w:link w:val="Corpodetexto"/>
    <w:uiPriority w:val="1"/>
    <w:rsid w:val="00787764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Numera10">
    <w:name w:val="Numera10"/>
    <w:basedOn w:val="Normal"/>
    <w:link w:val="Numera10CharChar"/>
    <w:uiPriority w:val="99"/>
    <w:rsid w:val="009E2D15"/>
    <w:pPr>
      <w:numPr>
        <w:numId w:val="4"/>
      </w:numPr>
    </w:pPr>
    <w:rPr>
      <w:rFonts w:eastAsia="Times New Roman"/>
      <w:szCs w:val="24"/>
      <w:lang w:val="x-none" w:eastAsia="pt-BR"/>
    </w:rPr>
  </w:style>
  <w:style w:type="character" w:customStyle="1" w:styleId="Numera10CharChar">
    <w:name w:val="Numera10 Char Char"/>
    <w:link w:val="Numera10"/>
    <w:uiPriority w:val="99"/>
    <w:locked/>
    <w:rsid w:val="009E2D15"/>
    <w:rPr>
      <w:rFonts w:ascii="Arial" w:eastAsia="Times New Roman" w:hAnsi="Arial"/>
      <w:sz w:val="24"/>
      <w:szCs w:val="24"/>
      <w:lang w:val="x-none"/>
    </w:rPr>
  </w:style>
  <w:style w:type="character" w:customStyle="1" w:styleId="normaltextrun">
    <w:name w:val="normaltextrun"/>
    <w:basedOn w:val="Fontepargpadro"/>
    <w:rsid w:val="00E44D5C"/>
  </w:style>
  <w:style w:type="character" w:styleId="MenoPendente">
    <w:name w:val="Unresolved Mention"/>
    <w:uiPriority w:val="99"/>
    <w:semiHidden/>
    <w:unhideWhenUsed/>
    <w:rsid w:val="008A620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848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F5F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1.tce.pr.gov.br/conteudo/instrucao-normativa-n-62-de-15-de-dezembro-de-2011/237411/area/249" TargetMode="External"/><Relationship Id="rId18" Type="http://schemas.openxmlformats.org/officeDocument/2006/relationships/hyperlink" Target="https://www1.tce.pr.gov.br/conteudo/instrucao-normativa-n%C2%BA-185-de-10-de-abril-de-2024/353865/area/249" TargetMode="External"/><Relationship Id="rId26" Type="http://schemas.openxmlformats.org/officeDocument/2006/relationships/hyperlink" Target="https://www1.tce.pr.gov.br/conteudo/instrucao-normativa-n-188-de-6-de-novembro-de-2024/359233/area/24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1.tce.pr.gov.br/conteudo/instrucao-normativa-n%C2%BA-185-de-10-de-abril-de-2024/353865/area/24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1.tce.pr.gov.br/conteudo/instrucao-normativa-n-58-de-9-de-junho-de-2011/237415/area/249" TargetMode="External"/><Relationship Id="rId17" Type="http://schemas.openxmlformats.org/officeDocument/2006/relationships/hyperlink" Target="https://www1.tce.pr.gov.br/conteudo/instrucao-de-servico-n-27-de-3-de-outubro-de-2011/1294/area/249" TargetMode="External"/><Relationship Id="rId25" Type="http://schemas.openxmlformats.org/officeDocument/2006/relationships/hyperlink" Target="https://www1.tce.pr.gov.br/conteudo/instrucao-normativa-n-188-de-6-de-novembro-de-2024/359233/area/24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1.tce.pr.gov.br/conteudo/instrucao-normativa-n-62-de-15-de-dezembro-de-2011/237411/area/249" TargetMode="External"/><Relationship Id="rId20" Type="http://schemas.openxmlformats.org/officeDocument/2006/relationships/hyperlink" Target="https://www1.tce.pr.gov.br/conteudo/instrucao-normativa-n%C2%BA-185-de-10-de-abril-de-2024/353865/area/249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tce.pr.gov.br/conteudo/instrucao-normativa-n%C2%BA-185-de-10-de-abril-de-2024/353865/area/249" TargetMode="External"/><Relationship Id="rId24" Type="http://schemas.openxmlformats.org/officeDocument/2006/relationships/hyperlink" Target="https://www1.tce.pr.gov.br/conteudo/instrucao-normativa-n-188-de-6-de-novembro-de-2024/359233/area/24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1.tce.pr.gov.br/conteudo/instrucao-normativa-n-170-de-13-de-janeiro-de-2022/339624/area/249" TargetMode="External"/><Relationship Id="rId23" Type="http://schemas.openxmlformats.org/officeDocument/2006/relationships/hyperlink" Target="https://www1.tce.pr.gov.br/conteudo/instrucao-normativa-n%C2%BA-185-de-10-de-abril-de-2024/353865/area/249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1.tce.pr.gov.br/conteudo/instrucao-normativa-n%C2%BA-185-de-10-de-abril-de-2024/353865/area/249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1.tce.pr.gov.br/conteudo/instrucao-normativa-n-86-de-20-de-dezembro-de-2012/237583/area/249" TargetMode="External"/><Relationship Id="rId22" Type="http://schemas.openxmlformats.org/officeDocument/2006/relationships/hyperlink" Target="https://www1.tce.pr.gov.br/conteudo/instrucao-normativa-n%C2%BA-185-de-10-de-abril-de-2024/353865/area/249" TargetMode="External"/><Relationship Id="rId27" Type="http://schemas.openxmlformats.org/officeDocument/2006/relationships/hyperlink" Target="https://www1.tce.pr.gov.br/conteudo/instrucao-normativa-n%C2%BA-185-de-10-de-abril-de-2024/353865/area/249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instrucao-normativa-n-58-de-9-de-junho-de-2011/237415/area/249" TargetMode="External"/><Relationship Id="rId3" Type="http://schemas.openxmlformats.org/officeDocument/2006/relationships/hyperlink" Target="https://www1.tce.pr.gov.br/conteudo/instrucao-normativa-n%C2%BA-185-de-10-de-abril-de-2024/353865/area/249" TargetMode="External"/><Relationship Id="rId7" Type="http://schemas.openxmlformats.org/officeDocument/2006/relationships/hyperlink" Target="https://www1.tce.pr.gov.br/conteudo/nota-tecnica-n-16-de-19-de-julho-de-2022-cgf/342116/area/249" TargetMode="External"/><Relationship Id="rId12" Type="http://schemas.openxmlformats.org/officeDocument/2006/relationships/hyperlink" Target="https://www1.tce.pr.gov.br/conteudo/instrucao-de-servico-n-27-de-3-de-outubro-de-2011/1294/area/249" TargetMode="External"/><Relationship Id="rId2" Type="http://schemas.openxmlformats.org/officeDocument/2006/relationships/hyperlink" Target="https://www1.tce.pr.gov.br/multimidia/2022/7/pdf/00368678.pdf" TargetMode="External"/><Relationship Id="rId1" Type="http://schemas.openxmlformats.org/officeDocument/2006/relationships/hyperlink" Target="https://www1.tce.pr.gov.br/multimidia/2022/7/pdf/00366850.pdf" TargetMode="External"/><Relationship Id="rId6" Type="http://schemas.openxmlformats.org/officeDocument/2006/relationships/hyperlink" Target="https://www1.tce.pr.gov.br/conteudo/nota-tecnica-n-15-de-19-de-julho-de-2022-cgf/342115/area/249" TargetMode="External"/><Relationship Id="rId11" Type="http://schemas.openxmlformats.org/officeDocument/2006/relationships/hyperlink" Target="https://www1.tce.pr.gov.br/conteudo/instrucao-normativa-n-170-de-13-de-janeiro-de-2022/339624/area/249" TargetMode="External"/><Relationship Id="rId5" Type="http://schemas.openxmlformats.org/officeDocument/2006/relationships/hyperlink" Target="https://www1.tce.pr.gov.br/conteudo/nota-tecnica-n-13-de-12-de-julho-de-2022-cgf/342113/area/249" TargetMode="External"/><Relationship Id="rId10" Type="http://schemas.openxmlformats.org/officeDocument/2006/relationships/hyperlink" Target="https://www1.tce.pr.gov.br/conteudo/instrucao-normativa-n-86-de-20-de-dezembro-de-2012/237583/area/249" TargetMode="External"/><Relationship Id="rId4" Type="http://schemas.openxmlformats.org/officeDocument/2006/relationships/hyperlink" Target="https://www1.tce.pr.gov.br/conteudo/instrucao-normativa-n-188-de-6-de-novembro-de-2024/359233/area/249" TargetMode="External"/><Relationship Id="rId9" Type="http://schemas.openxmlformats.org/officeDocument/2006/relationships/hyperlink" Target="https://www1.tce.pr.gov.br/conteudo/instrucao-normativa-n-62-de-15-de-dezembro-de-2011/237411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998BEEB1FC14EAEC9A5490AA47FAD" ma:contentTypeVersion="13" ma:contentTypeDescription="Crie um novo documento." ma:contentTypeScope="" ma:versionID="6cffa8d22a81bafb9a96f49af55dc35e">
  <xsd:schema xmlns:xsd="http://www.w3.org/2001/XMLSchema" xmlns:xs="http://www.w3.org/2001/XMLSchema" xmlns:p="http://schemas.microsoft.com/office/2006/metadata/properties" xmlns:ns1="http://schemas.microsoft.com/sharepoint/v3" xmlns:ns2="27d75b74-0293-44f3-96fb-7ade5a3a7225" xmlns:ns3="42f17760-a34e-4bd7-9da5-a024c6b85a9d" targetNamespace="http://schemas.microsoft.com/office/2006/metadata/properties" ma:root="true" ma:fieldsID="018da812e0cb3d81d57e2583ced594bb" ns1:_="" ns2:_="" ns3:_="">
    <xsd:import namespace="http://schemas.microsoft.com/sharepoint/v3"/>
    <xsd:import namespace="27d75b74-0293-44f3-96fb-7ade5a3a7225"/>
    <xsd:import namespace="42f17760-a34e-4bd7-9da5-a024c6b8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5b74-0293-44f3-96fb-7ade5a3a7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7760-a34e-4bd7-9da5-a024c6b8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BF43-E87E-4A24-A571-85B9A48D2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8DAB7-A265-4ADE-8E0D-672988671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d75b74-0293-44f3-96fb-7ade5a3a7225"/>
    <ds:schemaRef ds:uri="42f17760-a34e-4bd7-9da5-a024c6b8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A0CC47-3575-48FD-9C48-CEE8BE0291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617DB09-3D2D-4262-83AB-04DC3611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4471</Words>
  <Characters>24147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28561</CharactersWithSpaces>
  <SharedDoc>false</SharedDoc>
  <HLinks>
    <vt:vector size="228" baseType="variant">
      <vt:variant>
        <vt:i4>1835064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_Toc108448571</vt:lpwstr>
      </vt:variant>
      <vt:variant>
        <vt:i4>1835064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_Toc108448570</vt:lpwstr>
      </vt:variant>
      <vt:variant>
        <vt:i4>1900600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_Toc108448569</vt:lpwstr>
      </vt:variant>
      <vt:variant>
        <vt:i4>1900600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_Toc108448568</vt:lpwstr>
      </vt:variant>
      <vt:variant>
        <vt:i4>1900600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_Toc108448567</vt:lpwstr>
      </vt:variant>
      <vt:variant>
        <vt:i4>1900600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_Toc108448566</vt:lpwstr>
      </vt:variant>
      <vt:variant>
        <vt:i4>1900600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_Toc108448565</vt:lpwstr>
      </vt:variant>
      <vt:variant>
        <vt:i4>1900600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_Toc108448564</vt:lpwstr>
      </vt:variant>
      <vt:variant>
        <vt:i4>1900600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_Toc108448563</vt:lpwstr>
      </vt:variant>
      <vt:variant>
        <vt:i4>1900600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_Toc108448562</vt:lpwstr>
      </vt:variant>
      <vt:variant>
        <vt:i4>1900600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_Toc108448561</vt:lpwstr>
      </vt:variant>
      <vt:variant>
        <vt:i4>1900600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_Toc108448560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_Toc108448559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_Toc108448558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_Toc108448557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_Toc108448556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_Toc108448555</vt:lpwstr>
      </vt:variant>
      <vt:variant>
        <vt:i4>1966136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_Toc108448554</vt:lpwstr>
      </vt:variant>
      <vt:variant>
        <vt:i4>1966136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_Toc108448553</vt:lpwstr>
      </vt:variant>
      <vt:variant>
        <vt:i4>1966136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_Toc108448552</vt:lpwstr>
      </vt:variant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_Toc108448551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_Toc108448550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_Toc108448549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_Toc108448548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_Toc108448547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_Toc108448546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_Toc108448545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_Toc108448544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_Toc108448543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_Toc108448542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_Toc108448541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_Toc108448540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_Toc108448539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_Toc108448538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_Toc108448537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_Toc108448536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_Toc108448535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_Toc108448534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Ivens Zschoerper Linhares</dc:creator>
  <cp:keywords/>
  <dc:description/>
  <cp:lastModifiedBy>Milena Caroline Antunes dos Santos da Luz</cp:lastModifiedBy>
  <cp:revision>3</cp:revision>
  <cp:lastPrinted>2022-04-05T23:10:00Z</cp:lastPrinted>
  <dcterms:created xsi:type="dcterms:W3CDTF">2024-11-29T14:04:00Z</dcterms:created>
  <dcterms:modified xsi:type="dcterms:W3CDTF">2024-11-29T14:09:00Z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0x010100451998BEEB1FC14EAEC9A5490AA47FAD</vt:lpwstr>
  </property>
</Properties>
</file>